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eastAsia" w:ascii="Arial" w:hAnsi="Arial" w:eastAsia="MS Mincho" w:cs="Arial"/>
          <w:b/>
          <w:bCs/>
          <w:sz w:val="28"/>
          <w:lang w:eastAsia="ja-JP"/>
        </w:rPr>
      </w:pPr>
      <w:bookmarkStart w:id="0" w:name="_Ref494746248"/>
      <w:r>
        <w:rPr>
          <w:rFonts w:cs="Arial"/>
          <w:bCs/>
          <w:sz w:val="22"/>
          <w:szCs w:val="22"/>
          <w:lang w:eastAsia="zh-CN"/>
        </w:rPr>
        <w:t>3GPP TSG RAN WG1 #10</w:t>
      </w:r>
      <w:r>
        <w:rPr>
          <w:rFonts w:hint="eastAsia" w:cs="Arial"/>
          <w:bCs/>
          <w:sz w:val="22"/>
          <w:szCs w:val="22"/>
          <w:lang w:val="en-US" w:eastAsia="zh-CN"/>
        </w:rPr>
        <w:t>6bis-e</w:t>
      </w:r>
      <w:r>
        <w:rPr>
          <w:rFonts w:hint="eastAsia" w:cs="Arial"/>
          <w:bCs/>
          <w:sz w:val="22"/>
          <w:szCs w:val="22"/>
          <w:lang w:eastAsia="zh-CN"/>
        </w:rPr>
        <w:t xml:space="preserve">                                        R1-2108850</w:t>
      </w:r>
      <w:r>
        <w:rPr>
          <w:rFonts w:ascii="Arial" w:hAnsi="Arial" w:eastAsia="MS Mincho" w:cs="Arial"/>
          <w:b/>
          <w:bCs/>
          <w:sz w:val="22"/>
          <w:szCs w:val="22"/>
          <w:lang w:eastAsia="ja-JP"/>
        </w:rPr>
        <w:br w:type="textWrapping"/>
      </w:r>
      <w:r>
        <w:rPr>
          <w:rFonts w:ascii="Arial" w:hAnsi="Arial" w:cs="Arial"/>
          <w:b/>
          <w:sz w:val="22"/>
          <w:szCs w:val="22"/>
          <w:lang w:eastAsia="zh-CN"/>
        </w:rPr>
        <w:t>e-Meeting, October 11</w:t>
      </w:r>
      <w:r>
        <w:rPr>
          <w:rFonts w:ascii="Arial" w:hAnsi="Arial" w:cs="Arial"/>
          <w:b/>
          <w:sz w:val="22"/>
          <w:szCs w:val="22"/>
          <w:vertAlign w:val="superscript"/>
          <w:lang w:eastAsia="zh-CN"/>
        </w:rPr>
        <w:t>th</w:t>
      </w:r>
      <w:r>
        <w:rPr>
          <w:rFonts w:ascii="Arial" w:hAnsi="Arial" w:cs="Arial"/>
          <w:b/>
          <w:sz w:val="22"/>
          <w:szCs w:val="22"/>
          <w:lang w:eastAsia="zh-CN"/>
        </w:rPr>
        <w:t xml:space="preserve"> – 19</w:t>
      </w:r>
      <w:r>
        <w:rPr>
          <w:rFonts w:ascii="Arial" w:hAnsi="Arial" w:cs="Arial"/>
          <w:b/>
          <w:sz w:val="22"/>
          <w:szCs w:val="22"/>
          <w:vertAlign w:val="superscript"/>
          <w:lang w:eastAsia="zh-CN"/>
        </w:rPr>
        <w:t>th</w:t>
      </w:r>
      <w:r>
        <w:rPr>
          <w:rFonts w:ascii="Arial" w:hAnsi="Arial" w:cs="Arial"/>
          <w:b/>
          <w:sz w:val="22"/>
          <w:szCs w:val="22"/>
          <w:lang w:eastAsia="zh-CN"/>
        </w:rPr>
        <w:t>, 2021</w:t>
      </w:r>
    </w:p>
    <w:p>
      <w:pPr>
        <w:tabs>
          <w:tab w:val="center" w:pos="4536"/>
          <w:tab w:val="right" w:pos="9072"/>
        </w:tabs>
        <w:rPr>
          <w:highlight w:val="none"/>
        </w:rPr>
      </w:pPr>
      <w:r>
        <w:rPr>
          <w:rFonts w:ascii="Arial" w:hAnsi="Arial" w:cs="Arial"/>
          <w:b/>
          <w:sz w:val="22"/>
          <w:szCs w:val="22"/>
          <w:highlight w:val="none"/>
        </w:rPr>
        <w:tab/>
      </w:r>
    </w:p>
    <w:p>
      <w:pPr>
        <w:tabs>
          <w:tab w:val="left" w:pos="1985"/>
        </w:tabs>
        <w:spacing w:after="0"/>
        <w:rPr>
          <w:rFonts w:ascii="Arial" w:hAnsi="Arial"/>
          <w:b/>
          <w:highlight w:val="none"/>
        </w:rPr>
      </w:pPr>
      <w:r>
        <w:rPr>
          <w:rFonts w:ascii="Arial" w:hAnsi="Arial"/>
          <w:b/>
          <w:highlight w:val="none"/>
        </w:rPr>
        <w:t xml:space="preserve">Source: </w:t>
      </w:r>
      <w:r>
        <w:rPr>
          <w:rFonts w:ascii="Arial" w:hAnsi="Arial"/>
          <w:b/>
          <w:highlight w:val="none"/>
        </w:rPr>
        <w:tab/>
      </w:r>
      <w:r>
        <w:rPr>
          <w:rFonts w:ascii="Arial" w:hAnsi="Arial"/>
          <w:b/>
          <w:highlight w:val="none"/>
        </w:rPr>
        <w:t>ZTE Corporation</w:t>
      </w:r>
    </w:p>
    <w:p>
      <w:pPr>
        <w:spacing w:after="0"/>
        <w:ind w:left="1988" w:hanging="1988"/>
        <w:rPr>
          <w:rFonts w:hint="eastAsia" w:ascii="Arial" w:hAnsi="Arial"/>
          <w:b/>
          <w:sz w:val="21"/>
          <w:szCs w:val="22"/>
          <w:highlight w:val="none"/>
          <w:lang w:eastAsia="zh-CN"/>
        </w:rPr>
      </w:pPr>
      <w:r>
        <w:rPr>
          <w:rFonts w:ascii="Arial" w:hAnsi="Arial"/>
          <w:b/>
          <w:highlight w:val="none"/>
        </w:rPr>
        <w:t xml:space="preserve">Title: </w:t>
      </w:r>
      <w:r>
        <w:rPr>
          <w:rFonts w:ascii="Arial" w:hAnsi="Arial"/>
          <w:b/>
          <w:highlight w:val="none"/>
        </w:rPr>
        <w:tab/>
      </w:r>
      <w:r>
        <w:rPr>
          <w:rFonts w:hint="eastAsia" w:ascii="Arial" w:hAnsi="Arial"/>
          <w:b/>
          <w:sz w:val="21"/>
          <w:szCs w:val="22"/>
          <w:highlight w:val="none"/>
          <w:lang w:eastAsia="zh-CN"/>
        </w:rPr>
        <w:t>Performance impacts of residual frequency error for joint channel estimation of PUSCH and PUCCH transmissions</w:t>
      </w:r>
    </w:p>
    <w:p>
      <w:pPr>
        <w:tabs>
          <w:tab w:val="left" w:pos="1985"/>
        </w:tabs>
        <w:spacing w:after="0"/>
        <w:rPr>
          <w:rFonts w:hint="default" w:ascii="Arial" w:hAnsi="Arial"/>
          <w:b/>
          <w:highlight w:val="none"/>
          <w:lang w:val="en-US" w:eastAsia="zh-CN"/>
        </w:rPr>
      </w:pPr>
      <w:r>
        <w:rPr>
          <w:rFonts w:ascii="Arial" w:hAnsi="Arial"/>
          <w:b/>
          <w:highlight w:val="none"/>
        </w:rPr>
        <w:t>Agenda item:</w:t>
      </w:r>
      <w:r>
        <w:rPr>
          <w:rFonts w:ascii="Arial" w:hAnsi="Arial"/>
          <w:b/>
          <w:highlight w:val="none"/>
        </w:rPr>
        <w:tab/>
      </w:r>
      <w:r>
        <w:rPr>
          <w:rFonts w:hint="eastAsia" w:ascii="Arial" w:hAnsi="Arial"/>
          <w:b/>
          <w:highlight w:val="none"/>
          <w:lang w:eastAsia="zh-CN"/>
        </w:rPr>
        <w:t>8.</w:t>
      </w:r>
      <w:r>
        <w:rPr>
          <w:rFonts w:hint="eastAsia" w:ascii="Arial" w:hAnsi="Arial"/>
          <w:b/>
          <w:highlight w:val="none"/>
          <w:lang w:val="en-US" w:eastAsia="zh-CN"/>
        </w:rPr>
        <w:t>8</w:t>
      </w:r>
      <w:r>
        <w:rPr>
          <w:rFonts w:hint="eastAsia" w:ascii="Arial" w:hAnsi="Arial"/>
          <w:b/>
          <w:highlight w:val="none"/>
          <w:lang w:eastAsia="zh-CN"/>
        </w:rPr>
        <w:t>.</w:t>
      </w:r>
      <w:r>
        <w:rPr>
          <w:rFonts w:hint="eastAsia" w:ascii="Arial" w:hAnsi="Arial"/>
          <w:b/>
          <w:highlight w:val="none"/>
          <w:lang w:val="en-US" w:eastAsia="zh-CN"/>
        </w:rPr>
        <w:t>4</w:t>
      </w:r>
    </w:p>
    <w:p>
      <w:pPr>
        <w:spacing w:after="240"/>
        <w:ind w:left="1990" w:hanging="1990"/>
        <w:rPr>
          <w:rFonts w:ascii="Arial" w:hAnsi="Arial"/>
          <w:b/>
          <w:highlight w:val="none"/>
        </w:rPr>
      </w:pPr>
      <w:r>
        <w:rPr>
          <w:rFonts w:ascii="Arial" w:hAnsi="Arial"/>
          <w:b/>
          <w:highlight w:val="none"/>
        </w:rPr>
        <w:t>Document for:</w:t>
      </w:r>
      <w:r>
        <w:rPr>
          <w:rFonts w:ascii="Arial" w:hAnsi="Arial"/>
          <w:b/>
          <w:highlight w:val="none"/>
        </w:rPr>
        <w:tab/>
      </w:r>
      <w:bookmarkStart w:id="1" w:name="DocumentFor"/>
      <w:bookmarkEnd w:id="1"/>
      <w:r>
        <w:rPr>
          <w:rFonts w:ascii="Arial" w:hAnsi="Arial"/>
          <w:b/>
          <w:highlight w:val="none"/>
        </w:rPr>
        <w:t>Discussion/Decision</w:t>
      </w:r>
    </w:p>
    <w:p>
      <w:pPr>
        <w:pStyle w:val="2"/>
        <w:textAlignment w:val="auto"/>
        <w:rPr>
          <w:rFonts w:hint="default"/>
          <w:highlight w:val="none"/>
          <w:lang w:val="en-US" w:eastAsia="zh-CN"/>
        </w:rPr>
      </w:pPr>
      <w:bookmarkStart w:id="2" w:name="_Ref4817"/>
      <w:r>
        <w:rPr>
          <w:rFonts w:hint="eastAsia"/>
          <w:highlight w:val="none"/>
          <w:lang w:val="en-US" w:eastAsia="zh-CN"/>
        </w:rPr>
        <w:t xml:space="preserve"> </w:t>
      </w:r>
      <w:r>
        <w:rPr>
          <w:highlight w:val="none"/>
        </w:rPr>
        <w:t>Introduction</w:t>
      </w:r>
      <w:bookmarkEnd w:id="0"/>
      <w:bookmarkEnd w:id="2"/>
      <w:r>
        <w:rPr>
          <w:rFonts w:hint="eastAsia"/>
          <w:lang w:val="en-US" w:eastAsia="zh-CN"/>
        </w:rPr>
        <w:t xml:space="preserve"> </w:t>
      </w:r>
    </w:p>
    <w:p>
      <w:pPr>
        <w:bidi w:val="0"/>
        <w:rPr>
          <w:rFonts w:hint="default"/>
          <w:highlight w:val="none"/>
          <w:lang w:val="en-US" w:eastAsia="zh-CN"/>
        </w:rPr>
      </w:pPr>
      <w:r>
        <w:rPr>
          <w:rFonts w:hint="eastAsia"/>
          <w:highlight w:val="none"/>
          <w:lang w:val="en-US" w:eastAsia="zh-CN"/>
        </w:rPr>
        <w:t xml:space="preserve">In RAN1#104-e, it was agreed to take residual frequency error into account when performing evaluation on joint channel estimation [1].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hint="default" w:ascii="Times New Roman" w:hAnsi="Times New Roman" w:cs="Times New Roman"/>
              </w:rPr>
            </w:pPr>
            <w:r>
              <w:rPr>
                <w:rFonts w:hint="default" w:ascii="Times New Roman" w:hAnsi="Times New Roman" w:cs="Times New Roman"/>
                <w:highlight w:val="green"/>
              </w:rPr>
              <w:t>Agreements:</w:t>
            </w:r>
          </w:p>
          <w:p>
            <w:pPr>
              <w:numPr>
                <w:ilvl w:val="0"/>
                <w:numId w:val="9"/>
              </w:numPr>
              <w:spacing w:before="120" w:line="280" w:lineRule="atLeast"/>
              <w:rPr>
                <w:rFonts w:hint="default" w:ascii="Times New Roman" w:hAnsi="Times New Roman" w:cs="Times New Roman"/>
              </w:rPr>
            </w:pPr>
            <w:r>
              <w:rPr>
                <w:rFonts w:hint="default" w:ascii="Times New Roman" w:hAnsi="Times New Roman" w:cs="Times New Roman"/>
              </w:rPr>
              <w:t>For joint channel estimation.</w:t>
            </w:r>
          </w:p>
          <w:p>
            <w:pPr>
              <w:numPr>
                <w:ilvl w:val="1"/>
                <w:numId w:val="10"/>
              </w:numPr>
              <w:spacing w:before="120" w:line="280" w:lineRule="atLeast"/>
              <w:rPr>
                <w:rFonts w:hint="default" w:ascii="Times New Roman" w:hAnsi="Times New Roman" w:cs="Times New Roman"/>
              </w:rPr>
            </w:pPr>
            <w:r>
              <w:rPr>
                <w:rFonts w:hint="default" w:ascii="Times New Roman" w:hAnsi="Times New Roman" w:cs="Times New Roman"/>
              </w:rPr>
              <w:t xml:space="preserve">Take into account the residual frequency error, e.g., +/- 0.1 ppm as upper bound. </w:t>
            </w:r>
          </w:p>
          <w:p>
            <w:pPr>
              <w:numPr>
                <w:ilvl w:val="1"/>
                <w:numId w:val="10"/>
              </w:numPr>
              <w:spacing w:before="120" w:line="280" w:lineRule="atLeast"/>
              <w:rPr>
                <w:rFonts w:hint="default"/>
                <w:highlight w:val="none"/>
                <w:vertAlign w:val="baseline"/>
                <w:lang w:val="en-US" w:eastAsia="zh-CN"/>
              </w:rPr>
            </w:pPr>
            <w:r>
              <w:rPr>
                <w:rFonts w:hint="default" w:ascii="Times New Roman" w:hAnsi="Times New Roman" w:cs="Times New Roman"/>
              </w:rPr>
              <w:t>Companies can report other values and frequency error model.</w:t>
            </w:r>
          </w:p>
        </w:tc>
      </w:tr>
    </w:tbl>
    <w:p>
      <w:pPr>
        <w:bidi w:val="0"/>
        <w:rPr>
          <w:rFonts w:hint="default"/>
          <w:highlight w:val="none"/>
          <w:lang w:val="en-US" w:eastAsia="zh-CN"/>
        </w:rPr>
      </w:pPr>
    </w:p>
    <w:p>
      <w:pPr>
        <w:bidi w:val="0"/>
        <w:rPr>
          <w:rFonts w:hint="eastAsia" w:ascii="Times New Roman" w:hAnsi="Times New Roman" w:cs="Times New Roman"/>
          <w:b w:val="0"/>
          <w:kern w:val="0"/>
          <w:sz w:val="20"/>
          <w:szCs w:val="20"/>
          <w:highlight w:val="none"/>
          <w:lang w:val="en-US" w:eastAsia="zh-CN"/>
        </w:rPr>
      </w:pPr>
      <w:r>
        <w:rPr>
          <w:rFonts w:hint="eastAsia"/>
          <w:highlight w:val="none"/>
          <w:lang w:val="en-US" w:eastAsia="zh-CN"/>
        </w:rPr>
        <w:t xml:space="preserve">Based on RAN4 agreements in [2], it is agreed </w:t>
      </w:r>
      <w:r>
        <w:rPr>
          <w:rFonts w:hint="eastAsia" w:ascii="Times New Roman" w:hAnsi="Times New Roman" w:cs="Times New Roman"/>
          <w:highlight w:val="none"/>
          <w:lang w:val="en-US" w:eastAsia="zh-CN"/>
        </w:rPr>
        <w:t xml:space="preserve">in </w:t>
      </w:r>
      <w:r>
        <w:rPr>
          <w:rFonts w:hint="eastAsia"/>
          <w:highlight w:val="none"/>
          <w:lang w:val="en-US" w:eastAsia="zh-CN"/>
        </w:rPr>
        <w:t xml:space="preserve">RAN4 </w:t>
      </w:r>
      <w:r>
        <w:rPr>
          <w:rFonts w:hint="eastAsia" w:ascii="Times New Roman" w:hAnsi="Times New Roman" w:cs="Times New Roman"/>
          <w:highlight w:val="none"/>
          <w:lang w:val="en-US" w:eastAsia="zh-CN"/>
        </w:rPr>
        <w:t xml:space="preserve">that </w:t>
      </w:r>
      <w:r>
        <w:rPr>
          <w:rFonts w:hint="eastAsia" w:ascii="Times New Roman" w:hAnsi="Times New Roman" w:eastAsia="宋体" w:cs="Times New Roman"/>
          <w:b w:val="0"/>
          <w:color w:val="auto"/>
          <w:kern w:val="0"/>
          <w:sz w:val="20"/>
          <w:szCs w:val="20"/>
          <w:highlight w:val="none"/>
          <w:lang w:eastAsia="zh-CN"/>
        </w:rPr>
        <w:t>the tolerance of phase continuity and amplitude consistency</w:t>
      </w:r>
      <w:r>
        <w:rPr>
          <w:rFonts w:hint="eastAsia" w:ascii="Times New Roman" w:hAnsi="Times New Roman" w:cs="Times New Roman"/>
          <w:b w:val="0"/>
          <w:kern w:val="0"/>
          <w:sz w:val="20"/>
          <w:szCs w:val="20"/>
          <w:highlight w:val="none"/>
          <w:lang w:val="en-US" w:eastAsia="zh-CN"/>
        </w:rPr>
        <w:t xml:space="preserve"> for joint channel estimation will be further investigated.</w:t>
      </w:r>
    </w:p>
    <w:p>
      <w:pPr>
        <w:bidi w:val="0"/>
        <w:rPr>
          <w:rFonts w:hint="default"/>
          <w:highlight w:val="none"/>
          <w:lang w:val="en-US" w:eastAsia="zh-CN"/>
        </w:rPr>
      </w:pPr>
      <w:r>
        <w:rPr>
          <w:rFonts w:hint="eastAsia"/>
          <w:highlight w:val="none"/>
          <w:lang w:val="en-US" w:eastAsia="zh-CN"/>
        </w:rPr>
        <w:t xml:space="preserve">In this contribution, we provide some evaluation results regarding </w:t>
      </w:r>
      <w:r>
        <w:rPr>
          <w:rFonts w:hint="eastAsia" w:ascii="Times New Roman" w:hAnsi="Times New Roman" w:eastAsia="宋体" w:cs="Times New Roman"/>
          <w:b w:val="0"/>
          <w:kern w:val="0"/>
          <w:sz w:val="20"/>
          <w:szCs w:val="20"/>
          <w:highlight w:val="none"/>
          <w:lang w:eastAsia="zh-CN"/>
        </w:rPr>
        <w:t>the tolerance of phase continuity and amplitude consistency</w:t>
      </w:r>
      <w:r>
        <w:rPr>
          <w:rFonts w:hint="eastAsia"/>
          <w:highlight w:val="none"/>
          <w:lang w:val="en-US" w:eastAsia="zh-CN"/>
        </w:rPr>
        <w:t xml:space="preserve"> for joint channel estimation for PUSCH and PUCCH transmissions. </w:t>
      </w:r>
      <w:bookmarkStart w:id="4" w:name="_GoBack"/>
      <w:r>
        <w:rPr>
          <w:rFonts w:hint="eastAsia"/>
          <w:highlight w:val="none"/>
          <w:lang w:val="en-US" w:eastAsia="zh-CN"/>
        </w:rPr>
        <w:t xml:space="preserve">Note that, this contribution is a re-submission of R1-2106744 in RAN1#106-e. </w:t>
      </w:r>
    </w:p>
    <w:bookmarkEnd w:id="4"/>
    <w:p>
      <w:pPr>
        <w:pStyle w:val="2"/>
        <w:bidi w:val="0"/>
        <w:rPr>
          <w:rFonts w:hint="eastAsia"/>
          <w:lang w:val="en-US" w:eastAsia="zh-CN"/>
        </w:rPr>
      </w:pPr>
      <w:r>
        <w:rPr>
          <w:rFonts w:hint="eastAsia"/>
          <w:lang w:val="en-US" w:eastAsia="zh-CN"/>
        </w:rPr>
        <w:t xml:space="preserve"> Evaluation results</w:t>
      </w:r>
    </w:p>
    <w:p>
      <w:pPr>
        <w:pStyle w:val="3"/>
        <w:numPr>
          <w:ilvl w:val="1"/>
          <w:numId w:val="1"/>
        </w:numPr>
        <w:bidi w:val="0"/>
        <w:ind w:left="576" w:leftChars="0" w:hanging="576" w:firstLineChars="0"/>
        <w:rPr>
          <w:rFonts w:hint="default"/>
          <w:lang w:val="en-US" w:eastAsia="zh-CN"/>
        </w:rPr>
      </w:pPr>
      <w:r>
        <w:rPr>
          <w:rFonts w:hint="eastAsia"/>
          <w:lang w:val="en-US" w:eastAsia="zh-CN"/>
        </w:rPr>
        <w:t>Impacts of r</w:t>
      </w:r>
      <w:r>
        <w:rPr>
          <w:rFonts w:hint="default"/>
        </w:rPr>
        <w:t>esidual frequency error</w:t>
      </w:r>
    </w:p>
    <w:p>
      <w:pPr>
        <w:numPr>
          <w:ilvl w:val="0"/>
          <w:numId w:val="11"/>
        </w:numPr>
        <w:bidi w:val="0"/>
        <w:ind w:left="420" w:leftChars="0" w:hanging="420" w:firstLineChars="0"/>
        <w:rPr>
          <w:rFonts w:hint="default"/>
          <w:b/>
          <w:bCs/>
          <w:lang w:val="en-US" w:eastAsia="zh-CN"/>
        </w:rPr>
      </w:pPr>
      <w:r>
        <w:rPr>
          <w:rFonts w:hint="eastAsia"/>
          <w:b/>
          <w:bCs/>
          <w:lang w:val="en-US" w:eastAsia="zh-CN"/>
        </w:rPr>
        <w:t>Evaluation model</w:t>
      </w:r>
    </w:p>
    <w:p>
      <w:pPr>
        <w:rPr>
          <w:rFonts w:hint="default"/>
          <w:lang w:val="en-US" w:eastAsia="zh-CN"/>
        </w:rPr>
      </w:pPr>
      <w:r>
        <w:rPr>
          <w:rFonts w:hint="eastAsia"/>
          <w:lang w:val="en-US" w:eastAsia="zh-CN"/>
        </w:rPr>
        <w:t xml:space="preserve">Denote </w:t>
      </w:r>
      <w:r>
        <w:rPr>
          <w:rFonts w:hint="eastAsia"/>
          <w:position w:val="-10"/>
          <w:lang w:val="en-US" w:eastAsia="zh-CN"/>
        </w:rPr>
        <w:object>
          <v:shape id="_x0000_i1025" o:spt="75" type="#_x0000_t75" style="height:15pt;width:12pt;" o:ole="t" filled="f" o:preferrelative="t" stroked="f" coordsize="21600,21600">
            <v:path/>
            <v:fill on="f" focussize="0,0"/>
            <v:stroke on="f"/>
            <v:imagedata r:id="rId8" o:title=""/>
            <o:lock v:ext="edit" aspectratio="t"/>
            <w10:wrap type="none"/>
            <w10:anchorlock/>
          </v:shape>
          <o:OLEObject Type="Embed" ProgID="Equation.KSEE3" ShapeID="_x0000_i1025" DrawAspect="Content" ObjectID="_1468075725" r:id="rId7">
            <o:LockedField>false</o:LockedField>
          </o:OLEObject>
        </w:object>
      </w:r>
      <w:r>
        <w:rPr>
          <w:rFonts w:hint="eastAsia"/>
          <w:lang w:val="en-US" w:eastAsia="zh-CN"/>
        </w:rPr>
        <w:t xml:space="preserve"> as the baseband signal and </w:t>
      </w:r>
      <w:r>
        <w:rPr>
          <w:rFonts w:hint="eastAsia"/>
          <w:position w:val="-10"/>
          <w:lang w:val="en-US" w:eastAsia="zh-CN"/>
        </w:rPr>
        <w:object>
          <v:shape id="_x0000_i1026" o:spt="75" type="#_x0000_t75" style="height:15pt;width:13pt;" o:ole="t" filled="f" o:preferrelative="t" stroked="f" coordsize="21600,21600">
            <v:path/>
            <v:fill on="f" focussize="0,0"/>
            <v:stroke on="f"/>
            <v:imagedata r:id="rId10" o:title=""/>
            <o:lock v:ext="edit" aspectratio="t"/>
            <w10:wrap type="none"/>
            <w10:anchorlock/>
          </v:shape>
          <o:OLEObject Type="Embed" ProgID="Equation.KSEE3" ShapeID="_x0000_i1026" DrawAspect="Content" ObjectID="_1468075726" r:id="rId9">
            <o:LockedField>false</o:LockedField>
          </o:OLEObject>
        </w:object>
      </w:r>
      <w:r>
        <w:rPr>
          <w:rFonts w:hint="eastAsia"/>
          <w:lang w:val="en-US" w:eastAsia="zh-CN"/>
        </w:rPr>
        <w:t xml:space="preserve"> as the signal after modulation to the carrier frequency</w:t>
      </w:r>
      <w:r>
        <w:rPr>
          <w:rFonts w:hint="eastAsia"/>
          <w:position w:val="-12"/>
          <w:lang w:val="en-US" w:eastAsia="zh-CN"/>
        </w:rPr>
        <w:object>
          <v:shape id="_x0000_i1027" o:spt="75" type="#_x0000_t75" style="height:15.2pt;width:10.95pt;" o:ole="t" filled="f" o:preferrelative="t" stroked="f" coordsize="21600,21600">
            <v:path/>
            <v:fill on="f" focussize="0,0"/>
            <v:stroke on="f"/>
            <v:imagedata r:id="rId12" o:title=""/>
            <o:lock v:ext="edit" aspectratio="t"/>
            <w10:wrap type="none"/>
            <w10:anchorlock/>
          </v:shape>
          <o:OLEObject Type="Embed" ProgID="Equation.KSEE3" ShapeID="_x0000_i1027" DrawAspect="Content" ObjectID="_1468075727" r:id="rId11">
            <o:LockedField>false</o:LockedField>
          </o:OLEObject>
        </w:object>
      </w:r>
      <w:r>
        <w:rPr>
          <w:rFonts w:hint="eastAsia"/>
          <w:lang w:val="en-US" w:eastAsia="zh-CN"/>
        </w:rPr>
        <w:t xml:space="preserve">. Then, </w:t>
      </w:r>
      <w:r>
        <w:rPr>
          <w:rFonts w:hint="eastAsia"/>
          <w:position w:val="-10"/>
          <w:lang w:val="en-US" w:eastAsia="zh-CN"/>
        </w:rPr>
        <w:object>
          <v:shape id="_x0000_i1028" o:spt="75" type="#_x0000_t75" style="height:15pt;width:13pt;" o:ole="t" filled="f" o:preferrelative="t" stroked="f" coordsize="21600,21600">
            <v:path/>
            <v:fill on="f" focussize="0,0"/>
            <v:stroke on="f"/>
            <v:imagedata r:id="rId10" o:title=""/>
            <o:lock v:ext="edit" aspectratio="t"/>
            <w10:wrap type="none"/>
            <w10:anchorlock/>
          </v:shape>
          <o:OLEObject Type="Embed" ProgID="Equation.KSEE3" ShapeID="_x0000_i1028" DrawAspect="Content" ObjectID="_1468075728" r:id="rId13">
            <o:LockedField>false</o:LockedField>
          </o:OLEObject>
        </w:object>
      </w:r>
      <w:r>
        <w:rPr>
          <w:rFonts w:hint="eastAsia"/>
          <w:position w:val="-10"/>
          <w:lang w:val="en-US" w:eastAsia="zh-CN"/>
        </w:rPr>
        <w:t xml:space="preserve"> </w:t>
      </w:r>
      <w:r>
        <w:rPr>
          <w:rFonts w:hint="eastAsia"/>
          <w:lang w:val="en-US" w:eastAsia="zh-CN"/>
        </w:rPr>
        <w:t>can be given as</w:t>
      </w:r>
    </w:p>
    <w:p>
      <w:pPr>
        <w:jc w:val="center"/>
        <w:rPr>
          <w:rFonts w:hint="default"/>
          <w:lang w:val="en-US" w:eastAsia="zh-CN"/>
        </w:rPr>
      </w:pPr>
      <w:r>
        <w:rPr>
          <w:rFonts w:hint="eastAsia"/>
          <w:position w:val="-10"/>
          <w:lang w:val="en-US" w:eastAsia="zh-CN"/>
        </w:rPr>
        <w:object>
          <v:shape id="_x0000_i1029" o:spt="75" type="#_x0000_t75" style="height:18pt;width:62pt;" o:ole="t" filled="f" o:preferrelative="t" stroked="f" coordsize="21600,21600">
            <v:path/>
            <v:fill on="f" focussize="0,0"/>
            <v:stroke on="f"/>
            <v:imagedata r:id="rId15" o:title=""/>
            <o:lock v:ext="edit" aspectratio="t"/>
            <w10:wrap type="none"/>
            <w10:anchorlock/>
          </v:shape>
          <o:OLEObject Type="Embed" ProgID="Equation.KSEE3" ShapeID="_x0000_i1029" DrawAspect="Content" ObjectID="_1468075729" r:id="rId14">
            <o:LockedField>false</o:LockedField>
          </o:OLEObject>
        </w:object>
      </w:r>
      <w:r>
        <w:rPr>
          <w:rFonts w:hint="eastAsia"/>
          <w:position w:val="-10"/>
          <w:lang w:val="en-US" w:eastAsia="zh-CN"/>
        </w:rPr>
        <w:t xml:space="preserve">                        </w:t>
      </w:r>
    </w:p>
    <w:p>
      <w:pPr>
        <w:rPr>
          <w:rFonts w:hint="eastAsia"/>
          <w:lang w:val="en-US" w:eastAsia="zh-CN"/>
        </w:rPr>
      </w:pPr>
      <w:r>
        <w:rPr>
          <w:rFonts w:hint="eastAsia"/>
          <w:lang w:val="en-US" w:eastAsia="zh-CN"/>
        </w:rPr>
        <w:t xml:space="preserve">Assuming the residual frequency error (RFE) due to imperfect oscillator at the receiver is </w:t>
      </w:r>
      <w:r>
        <w:rPr>
          <w:rFonts w:hint="eastAsia"/>
          <w:position w:val="-10"/>
          <w:lang w:val="en-US" w:eastAsia="zh-CN"/>
        </w:rPr>
        <w:object>
          <v:shape id="_x0000_i1030" o:spt="75" type="#_x0000_t75" style="height:15pt;width:15pt;" o:ole="t" filled="f" o:preferrelative="t" stroked="f" coordsize="21600,21600">
            <v:path/>
            <v:fill on="f" focussize="0,0"/>
            <v:stroke on="f"/>
            <v:imagedata r:id="rId17" o:title=""/>
            <o:lock v:ext="edit" aspectratio="t"/>
            <w10:wrap type="none"/>
            <w10:anchorlock/>
          </v:shape>
          <o:OLEObject Type="Embed" ProgID="Equation.KSEE3" ShapeID="_x0000_i1030" DrawAspect="Content" ObjectID="_1468075730" r:id="rId16">
            <o:LockedField>false</o:LockedField>
          </o:OLEObject>
        </w:object>
      </w:r>
      <w:r>
        <w:rPr>
          <w:rFonts w:hint="eastAsia"/>
          <w:lang w:val="en-US" w:eastAsia="zh-CN"/>
        </w:rPr>
        <w:t xml:space="preserve">, the received signal </w:t>
      </w:r>
      <w:r>
        <w:rPr>
          <w:rFonts w:hint="eastAsia"/>
          <w:position w:val="-10"/>
          <w:lang w:val="en-US" w:eastAsia="zh-CN"/>
        </w:rPr>
        <w:object>
          <v:shape id="_x0000_i1031" o:spt="75" type="#_x0000_t75" style="height:15pt;width:11pt;" o:ole="t" filled="f" o:preferrelative="t" stroked="f" coordsize="21600,21600">
            <v:path/>
            <v:fill on="f" focussize="0,0"/>
            <v:stroke on="f"/>
            <v:imagedata r:id="rId19" o:title=""/>
            <o:lock v:ext="edit" aspectratio="t"/>
            <w10:wrap type="none"/>
            <w10:anchorlock/>
          </v:shape>
          <o:OLEObject Type="Embed" ProgID="Equation.KSEE3" ShapeID="_x0000_i1031" DrawAspect="Content" ObjectID="_1468075731" r:id="rId18">
            <o:LockedField>false</o:LockedField>
          </o:OLEObject>
        </w:object>
      </w:r>
      <w:r>
        <w:rPr>
          <w:rFonts w:hint="eastAsia"/>
          <w:lang w:val="en-US" w:eastAsia="zh-CN"/>
        </w:rPr>
        <w:t xml:space="preserve"> after demodulation to the carrier frequency would be:</w:t>
      </w:r>
    </w:p>
    <w:p>
      <w:pPr>
        <w:jc w:val="center"/>
        <w:rPr>
          <w:rFonts w:hint="default"/>
          <w:lang w:val="en-US" w:eastAsia="zh-CN"/>
        </w:rPr>
      </w:pPr>
      <w:r>
        <w:rPr>
          <w:rFonts w:hint="default"/>
          <w:position w:val="-10"/>
          <w:lang w:val="en-US" w:eastAsia="zh-CN"/>
        </w:rPr>
        <w:object>
          <v:shape id="_x0000_i1032" o:spt="75" type="#_x0000_t75" style="height:18pt;width:247.95pt;" o:ole="t" filled="f" o:preferrelative="t" stroked="f" coordsize="21600,21600">
            <v:path/>
            <v:fill on="f" focussize="0,0"/>
            <v:stroke on="f"/>
            <v:imagedata r:id="rId21" o:title=""/>
            <o:lock v:ext="edit" aspectratio="t"/>
            <w10:wrap type="none"/>
            <w10:anchorlock/>
          </v:shape>
          <o:OLEObject Type="Embed" ProgID="Equation.KSEE3" ShapeID="_x0000_i1032" DrawAspect="Content" ObjectID="_1468075732" r:id="rId20">
            <o:LockedField>false</o:LockedField>
          </o:OLEObject>
        </w:object>
      </w:r>
    </w:p>
    <w:p>
      <w:pPr>
        <w:rPr>
          <w:rFonts w:hint="default"/>
          <w:lang w:val="en-US" w:eastAsia="zh-CN"/>
        </w:rPr>
      </w:pPr>
      <w:r>
        <w:rPr>
          <w:rFonts w:hint="eastAsia"/>
          <w:lang w:val="en-US" w:eastAsia="zh-CN"/>
        </w:rPr>
        <w:t>Regarding</w:t>
      </w:r>
      <w:r>
        <w:rPr>
          <w:rFonts w:hint="eastAsia"/>
          <w:position w:val="-10"/>
          <w:lang w:val="en-US" w:eastAsia="zh-CN"/>
        </w:rPr>
        <w:object>
          <v:shape id="_x0000_i1033" o:spt="75" type="#_x0000_t75" style="height:15pt;width:15pt;" o:ole="t" filled="f" o:preferrelative="t" stroked="f" coordsize="21600,21600">
            <v:path/>
            <v:fill on="f" focussize="0,0"/>
            <v:stroke on="f"/>
            <v:imagedata r:id="rId17" o:title=""/>
            <o:lock v:ext="edit" aspectratio="t"/>
            <w10:wrap type="none"/>
            <w10:anchorlock/>
          </v:shape>
          <o:OLEObject Type="Embed" ProgID="Equation.KSEE3" ShapeID="_x0000_i1033" DrawAspect="Content" ObjectID="_1468075733" r:id="rId22">
            <o:LockedField>false</o:LockedField>
          </o:OLEObject>
        </w:object>
      </w:r>
      <w:r>
        <w:rPr>
          <w:rFonts w:hint="eastAsia"/>
          <w:lang w:val="en-US" w:eastAsia="zh-CN"/>
        </w:rPr>
        <w:t>,</w:t>
      </w:r>
      <w:r>
        <w:rPr>
          <w:rFonts w:hint="eastAsia"/>
          <w:position w:val="-10"/>
          <w:lang w:val="en-US" w:eastAsia="zh-CN"/>
        </w:rPr>
        <w:t xml:space="preserve"> </w:t>
      </w:r>
      <w:r>
        <w:rPr>
          <w:rFonts w:hint="eastAsia"/>
          <w:lang w:val="en-US" w:eastAsia="zh-CN"/>
        </w:rPr>
        <w:t xml:space="preserve">Uniform distribution with [-0.1,+0.1] ppm is assumed in our simulation. For PUSCH/PUCCH transmissions with repetition, the RFE is added per repetition basis. That is, for each repetition, a separate RFE is randomly generated from a uniform distribution and added to (multiplied by </w:t>
      </w:r>
      <w:r>
        <w:rPr>
          <w:rFonts w:hint="eastAsia"/>
          <w:position w:val="-6"/>
          <w:lang w:val="en-US" w:eastAsia="zh-CN"/>
        </w:rPr>
        <w:object>
          <v:shape id="_x0000_i1034" o:spt="75" type="#_x0000_t75" style="height:15pt;width:35pt;" o:ole="t" filled="f" o:preferrelative="t" stroked="f" coordsize="21600,21600">
            <v:path/>
            <v:fill on="f" focussize="0,0"/>
            <v:stroke on="f"/>
            <v:imagedata r:id="rId24" o:title=""/>
            <o:lock v:ext="edit" aspectratio="t"/>
            <w10:wrap type="none"/>
            <w10:anchorlock/>
          </v:shape>
          <o:OLEObject Type="Embed" ProgID="Equation.KSEE3" ShapeID="_x0000_i1034" DrawAspect="Content" ObjectID="_1468075734" r:id="rId23">
            <o:LockedField>false</o:LockedField>
          </o:OLEObject>
        </w:object>
      </w:r>
      <w:r>
        <w:rPr>
          <w:rFonts w:hint="eastAsia"/>
          <w:lang w:val="en-US" w:eastAsia="zh-CN"/>
        </w:rPr>
        <w:t xml:space="preserve">) the received time domain signal. </w:t>
      </w:r>
    </w:p>
    <w:p>
      <w:pPr>
        <w:numPr>
          <w:ilvl w:val="0"/>
          <w:numId w:val="11"/>
        </w:numPr>
        <w:bidi w:val="0"/>
        <w:ind w:left="420" w:leftChars="0" w:hanging="420" w:firstLineChars="0"/>
        <w:rPr>
          <w:rFonts w:hint="default"/>
          <w:b/>
          <w:bCs/>
          <w:lang w:val="en-US" w:eastAsia="zh-CN"/>
        </w:rPr>
      </w:pPr>
      <w:r>
        <w:rPr>
          <w:rFonts w:hint="eastAsia"/>
          <w:b/>
          <w:bCs/>
          <w:lang w:val="en-US" w:eastAsia="zh-CN"/>
        </w:rPr>
        <w:t>Evaluation results of PUSCH</w:t>
      </w:r>
    </w:p>
    <w:p>
      <w:pPr>
        <w:rPr>
          <w:rFonts w:hint="default"/>
          <w:lang w:val="en-US" w:eastAsia="zh-CN"/>
        </w:rPr>
      </w:pPr>
      <w:r>
        <w:rPr>
          <w:rFonts w:hint="eastAsia"/>
          <w:lang w:val="en-US" w:eastAsia="zh-CN"/>
        </w:rPr>
        <w:t xml:space="preserve">The simulation results for cross-slot joint channel estimation with and without RFE for PUSCH are given in this section. </w:t>
      </w:r>
      <w:r>
        <w:rPr>
          <w:rFonts w:hint="eastAsia" w:ascii="Times New Roman" w:hAnsi="Times New Roman" w:cs="Times New Roman"/>
          <w:color w:val="auto"/>
          <w:lang w:val="en-US" w:eastAsia="zh-CN"/>
        </w:rPr>
        <w:t>PUSCH with 8 repetitions are provided, and n</w:t>
      </w:r>
      <w:r>
        <w:rPr>
          <w:rFonts w:hint="eastAsia"/>
          <w:lang w:val="en-US" w:eastAsia="zh-CN"/>
        </w:rPr>
        <w:t>o frequency error correction at receiver side is assumed in our simulations.</w:t>
      </w:r>
    </w:p>
    <w:p>
      <w:pPr>
        <w:bidi w:val="0"/>
        <w:rPr>
          <w:rFonts w:hint="default"/>
          <w:highlight w:val="none"/>
          <w:lang w:val="en-US" w:eastAsia="zh-CN"/>
        </w:rPr>
      </w:pPr>
      <w:r>
        <w:rPr>
          <w:rFonts w:hint="eastAsia"/>
          <w:highlight w:val="none"/>
          <w:lang w:val="en-US" w:eastAsia="zh-CN"/>
        </w:rPr>
        <w:t xml:space="preserve">In Figure 1 and Figure 2, the performance impact with taking RFE into account is provided for 700MHz Rural scenario and 4GHz Urban scenario respectively. </w:t>
      </w:r>
      <w:r>
        <w:rPr>
          <w:rFonts w:hint="eastAsia"/>
          <w:lang w:val="en-US" w:eastAsia="zh-CN"/>
        </w:rPr>
        <w:t>The detailed simulation assumptions are provided in Table A-1 in the appendix.</w:t>
      </w:r>
    </w:p>
    <w:p>
      <w:pPr>
        <w:jc w:val="center"/>
        <w:rPr>
          <w:highlight w:val="none"/>
        </w:rPr>
      </w:pPr>
      <w:r>
        <w:drawing>
          <wp:inline distT="0" distB="0" distL="114300" distR="114300">
            <wp:extent cx="4494530" cy="2961005"/>
            <wp:effectExtent l="4445" t="5080" r="15875" b="5715"/>
            <wp:docPr id="28" name="图表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pPr>
        <w:jc w:val="center"/>
        <w:rPr>
          <w:rFonts w:hint="default"/>
          <w:highlight w:val="none"/>
          <w:lang w:val="en-US" w:eastAsia="zh-CN"/>
        </w:rPr>
      </w:pPr>
      <w:r>
        <w:rPr>
          <w:rFonts w:hint="eastAsia"/>
          <w:highlight w:val="none"/>
          <w:lang w:eastAsia="zh-CN"/>
        </w:rPr>
        <w:t xml:space="preserve">Figure </w:t>
      </w:r>
      <w:r>
        <w:rPr>
          <w:rFonts w:hint="eastAsia"/>
          <w:highlight w:val="none"/>
          <w:lang w:val="en-US" w:eastAsia="zh-CN"/>
        </w:rPr>
        <w:t>1</w:t>
      </w:r>
      <w:r>
        <w:rPr>
          <w:rFonts w:hint="eastAsia"/>
          <w:highlight w:val="none"/>
          <w:lang w:eastAsia="zh-CN"/>
        </w:rPr>
        <w:t>. Performance of</w:t>
      </w:r>
      <w:r>
        <w:rPr>
          <w:rFonts w:hint="eastAsia"/>
          <w:highlight w:val="none"/>
          <w:lang w:val="en-US" w:eastAsia="zh-CN"/>
        </w:rPr>
        <w:t xml:space="preserve"> joint channel estimation for PUSCH w/ or w/o RFE </w:t>
      </w:r>
      <w:r>
        <w:rPr>
          <w:rFonts w:hint="eastAsia"/>
          <w:i w:val="0"/>
          <w:iCs w:val="0"/>
          <w:highlight w:val="none"/>
          <w:lang w:val="en-US" w:eastAsia="zh-CN"/>
        </w:rPr>
        <w:t>in 700MHz Rural scenario</w:t>
      </w:r>
    </w:p>
    <w:p>
      <w:pPr>
        <w:jc w:val="both"/>
        <w:rPr>
          <w:rFonts w:hint="default"/>
          <w:highlight w:val="none"/>
          <w:lang w:val="en-US" w:eastAsia="zh-CN"/>
        </w:rPr>
      </w:pPr>
      <w:r>
        <w:rPr>
          <w:rFonts w:hint="eastAsia"/>
          <w:highlight w:val="none"/>
          <w:lang w:val="en-US" w:eastAsia="zh-CN"/>
        </w:rPr>
        <w:t>As can be observed in</w:t>
      </w:r>
      <w:r>
        <w:rPr>
          <w:rFonts w:hint="eastAsia"/>
          <w:highlight w:val="none"/>
          <w:lang w:eastAsia="zh-CN"/>
        </w:rPr>
        <w:t xml:space="preserve"> </w:t>
      </w:r>
      <w:r>
        <w:rPr>
          <w:rFonts w:hint="eastAsia"/>
          <w:highlight w:val="none"/>
          <w:lang w:val="en-US" w:eastAsia="zh-CN"/>
        </w:rPr>
        <w:t>Figure 1</w:t>
      </w:r>
      <w:r>
        <w:rPr>
          <w:rFonts w:hint="eastAsia"/>
          <w:highlight w:val="none"/>
          <w:lang w:eastAsia="zh-CN"/>
        </w:rPr>
        <w:t>,</w:t>
      </w:r>
      <w:r>
        <w:rPr>
          <w:rFonts w:hint="eastAsia"/>
          <w:highlight w:val="none"/>
          <w:lang w:val="en-US" w:eastAsia="zh-CN"/>
        </w:rPr>
        <w:t xml:space="preserve"> the performance difference between the case with or without RFE in 700MHz Rural scenario is very small. That is, the performance impact due to RFE is negligible in 700MHz Rural scenario.</w:t>
      </w:r>
    </w:p>
    <w:p>
      <w:pPr>
        <w:rPr>
          <w:rFonts w:hint="default"/>
          <w:highlight w:val="none"/>
          <w:lang w:val="en-US" w:eastAsia="zh-CN"/>
        </w:rPr>
      </w:pPr>
      <w:r>
        <w:rPr>
          <w:rFonts w:hint="eastAsia"/>
          <w:b/>
          <w:bCs/>
          <w:i/>
          <w:iCs/>
          <w:highlight w:val="none"/>
          <w:lang w:val="en-US" w:eastAsia="zh-CN"/>
        </w:rPr>
        <w:t xml:space="preserve">Observation 1: </w:t>
      </w:r>
      <w:r>
        <w:rPr>
          <w:rFonts w:hint="eastAsia"/>
          <w:i/>
          <w:iCs/>
          <w:highlight w:val="none"/>
          <w:lang w:val="en-US" w:eastAsia="zh-CN"/>
        </w:rPr>
        <w:t xml:space="preserve">The performance impact due to </w:t>
      </w:r>
      <w:r>
        <w:rPr>
          <w:rFonts w:hint="eastAsia"/>
          <w:i/>
          <w:iCs/>
          <w:lang w:val="en-US" w:eastAsia="zh-CN"/>
        </w:rPr>
        <w:t>residual frequency error</w:t>
      </w:r>
      <w:r>
        <w:rPr>
          <w:rFonts w:hint="eastAsia"/>
          <w:i/>
          <w:iCs/>
          <w:highlight w:val="none"/>
          <w:lang w:val="en-US" w:eastAsia="zh-CN"/>
        </w:rPr>
        <w:t xml:space="preserve"> for joint channel estimation for PUSCH is negligible in 700MHz Rural scenario</w:t>
      </w:r>
      <w:r>
        <w:rPr>
          <w:rFonts w:hint="eastAsia"/>
          <w:i/>
          <w:iCs/>
          <w:color w:val="auto"/>
          <w:highlight w:val="none"/>
          <w:lang w:val="en-US" w:eastAsia="zh-CN"/>
        </w:rPr>
        <w:t xml:space="preserve">. </w:t>
      </w:r>
    </w:p>
    <w:p>
      <w:pPr>
        <w:rPr>
          <w:rFonts w:hint="default"/>
          <w:lang w:val="en-US" w:eastAsia="zh-CN"/>
        </w:rPr>
      </w:pPr>
    </w:p>
    <w:p>
      <w:pPr>
        <w:jc w:val="center"/>
        <w:rPr>
          <w:rFonts w:hint="eastAsia"/>
          <w:highlight w:val="yellow"/>
          <w:lang w:val="en-US" w:eastAsia="zh-CN"/>
        </w:rPr>
      </w:pPr>
      <w:r>
        <w:drawing>
          <wp:inline distT="0" distB="0" distL="114300" distR="114300">
            <wp:extent cx="4574540" cy="2743200"/>
            <wp:effectExtent l="4445" t="4445" r="12065" b="14605"/>
            <wp:docPr id="7" name="图表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pPr>
        <w:jc w:val="center"/>
        <w:rPr>
          <w:rFonts w:hint="default"/>
          <w:highlight w:val="yellow"/>
          <w:lang w:val="en-US" w:eastAsia="zh-CN"/>
        </w:rPr>
      </w:pPr>
      <w:r>
        <w:rPr>
          <w:rFonts w:hint="eastAsia"/>
          <w:highlight w:val="none"/>
          <w:lang w:eastAsia="zh-CN"/>
        </w:rPr>
        <w:t xml:space="preserve">Figure </w:t>
      </w:r>
      <w:r>
        <w:rPr>
          <w:rFonts w:hint="eastAsia"/>
          <w:highlight w:val="none"/>
          <w:lang w:val="en-US" w:eastAsia="zh-CN"/>
        </w:rPr>
        <w:t>2</w:t>
      </w:r>
      <w:r>
        <w:rPr>
          <w:rFonts w:hint="eastAsia"/>
          <w:highlight w:val="none"/>
          <w:lang w:eastAsia="zh-CN"/>
        </w:rPr>
        <w:t>. Performance of</w:t>
      </w:r>
      <w:r>
        <w:rPr>
          <w:rFonts w:hint="eastAsia"/>
          <w:highlight w:val="none"/>
          <w:lang w:val="en-US" w:eastAsia="zh-CN"/>
        </w:rPr>
        <w:t xml:space="preserve"> joint channel estimation for PUSCH w/ or w/o RFE i</w:t>
      </w:r>
      <w:r>
        <w:rPr>
          <w:rFonts w:hint="eastAsia"/>
          <w:lang w:val="en-US" w:eastAsia="zh-CN"/>
        </w:rPr>
        <w:t>n 4GHz Urban scenario</w:t>
      </w:r>
    </w:p>
    <w:p>
      <w:pPr>
        <w:jc w:val="both"/>
        <w:rPr>
          <w:rFonts w:hint="default"/>
          <w:highlight w:val="none"/>
          <w:lang w:val="en-US" w:eastAsia="zh-CN"/>
        </w:rPr>
      </w:pPr>
      <w:r>
        <w:rPr>
          <w:rFonts w:hint="eastAsia"/>
          <w:highlight w:val="none"/>
          <w:lang w:val="en-US" w:eastAsia="zh-CN"/>
        </w:rPr>
        <w:t>As can be observed in</w:t>
      </w:r>
      <w:r>
        <w:rPr>
          <w:rFonts w:hint="eastAsia"/>
          <w:highlight w:val="none"/>
          <w:lang w:eastAsia="zh-CN"/>
        </w:rPr>
        <w:t xml:space="preserve"> </w:t>
      </w:r>
      <w:r>
        <w:rPr>
          <w:rFonts w:hint="eastAsia"/>
          <w:highlight w:val="none"/>
          <w:lang w:val="en-US" w:eastAsia="zh-CN"/>
        </w:rPr>
        <w:t>Figure 2</w:t>
      </w:r>
      <w:r>
        <w:rPr>
          <w:rFonts w:hint="eastAsia"/>
          <w:highlight w:val="none"/>
          <w:lang w:eastAsia="zh-CN"/>
        </w:rPr>
        <w:t>,</w:t>
      </w:r>
      <w:r>
        <w:rPr>
          <w:rFonts w:hint="eastAsia"/>
          <w:highlight w:val="none"/>
          <w:lang w:val="en-US" w:eastAsia="zh-CN"/>
        </w:rPr>
        <w:t xml:space="preserve"> the performance </w:t>
      </w:r>
      <w:r>
        <w:rPr>
          <w:rFonts w:hint="eastAsia"/>
          <w:vertAlign w:val="baseline"/>
          <w:lang w:val="en-US" w:eastAsia="zh-CN"/>
        </w:rPr>
        <w:t xml:space="preserve">degradation </w:t>
      </w:r>
      <w:r>
        <w:rPr>
          <w:rFonts w:hint="eastAsia"/>
          <w:highlight w:val="none"/>
          <w:lang w:val="en-US" w:eastAsia="zh-CN"/>
        </w:rPr>
        <w:t xml:space="preserve">due to RFE in 4GHz Urban scenario is </w:t>
      </w:r>
      <w:r>
        <w:rPr>
          <w:rFonts w:hint="default"/>
          <w:highlight w:val="none"/>
          <w:lang w:val="en-US" w:eastAsia="zh-CN"/>
        </w:rPr>
        <w:t xml:space="preserve">very </w:t>
      </w:r>
      <w:r>
        <w:rPr>
          <w:rFonts w:hint="eastAsia"/>
          <w:highlight w:val="none"/>
          <w:lang w:val="en-US" w:eastAsia="zh-CN"/>
        </w:rPr>
        <w:t xml:space="preserve">large under the used simulation assumptions. At target BLER of 0.1, the </w:t>
      </w:r>
      <w:r>
        <w:rPr>
          <w:rFonts w:hint="eastAsia"/>
          <w:vertAlign w:val="baseline"/>
          <w:lang w:val="en-US" w:eastAsia="zh-CN"/>
        </w:rPr>
        <w:t xml:space="preserve">performance degradation is about 4 dB, and it would get larger with a lower BLER target. </w:t>
      </w:r>
    </w:p>
    <w:p>
      <w:pPr>
        <w:rPr>
          <w:rFonts w:hint="default"/>
          <w:lang w:val="en-US" w:eastAsia="zh-CN"/>
        </w:rPr>
      </w:pPr>
      <w:r>
        <w:rPr>
          <w:rFonts w:hint="eastAsia"/>
          <w:b/>
          <w:bCs/>
          <w:i/>
          <w:iCs/>
          <w:highlight w:val="none"/>
          <w:lang w:val="en-US" w:eastAsia="zh-CN"/>
        </w:rPr>
        <w:t xml:space="preserve">Observation 2: </w:t>
      </w:r>
      <w:r>
        <w:rPr>
          <w:rFonts w:hint="eastAsia"/>
          <w:i/>
          <w:iCs/>
          <w:highlight w:val="none"/>
          <w:lang w:val="en-US" w:eastAsia="zh-CN"/>
        </w:rPr>
        <w:t xml:space="preserve">The performance impact due to </w:t>
      </w:r>
      <w:r>
        <w:rPr>
          <w:rFonts w:hint="eastAsia"/>
          <w:i/>
          <w:iCs/>
          <w:lang w:val="en-US" w:eastAsia="zh-CN"/>
        </w:rPr>
        <w:t>residual frequency error</w:t>
      </w:r>
      <w:r>
        <w:rPr>
          <w:rFonts w:hint="eastAsia"/>
          <w:i/>
          <w:iCs/>
          <w:highlight w:val="none"/>
          <w:lang w:val="en-US" w:eastAsia="zh-CN"/>
        </w:rPr>
        <w:t xml:space="preserve"> for joint channel estimation for PUSCH could be significant in 4GHz Urban scenario, with about 4 dB performance loss @BLER = 0.1 observed</w:t>
      </w:r>
      <w:r>
        <w:rPr>
          <w:rFonts w:hint="eastAsia"/>
          <w:i/>
          <w:iCs/>
          <w:color w:val="auto"/>
          <w:highlight w:val="none"/>
          <w:lang w:val="en-US" w:eastAsia="zh-CN"/>
        </w:rPr>
        <w:t>.</w:t>
      </w:r>
    </w:p>
    <w:p>
      <w:pPr>
        <w:numPr>
          <w:ilvl w:val="0"/>
          <w:numId w:val="11"/>
        </w:numPr>
        <w:bidi w:val="0"/>
        <w:ind w:left="420" w:leftChars="0" w:hanging="420" w:firstLineChars="0"/>
        <w:rPr>
          <w:rFonts w:hint="default"/>
          <w:b/>
          <w:bCs/>
          <w:lang w:val="en-US" w:eastAsia="zh-CN"/>
        </w:rPr>
      </w:pPr>
      <w:r>
        <w:rPr>
          <w:rFonts w:hint="eastAsia"/>
          <w:b/>
          <w:bCs/>
          <w:lang w:val="en-US" w:eastAsia="zh-CN"/>
        </w:rPr>
        <w:t>Evaluation results of PUCCH</w:t>
      </w:r>
    </w:p>
    <w:p>
      <w:pPr>
        <w:rPr>
          <w:rFonts w:hint="eastAsia"/>
          <w:lang w:val="en-US" w:eastAsia="zh-CN"/>
        </w:rPr>
      </w:pPr>
      <w:r>
        <w:rPr>
          <w:rFonts w:hint="eastAsia"/>
          <w:lang w:val="en-US" w:eastAsia="zh-CN"/>
        </w:rPr>
        <w:t>The simulation results for joint channel estimation with and without RFE for PUCCH are shown in Figure 3 and Figure 3 for 700MHz and 4GHz respectively. No frequency error correction at receiver side is assumed in our simulations.</w:t>
      </w:r>
    </w:p>
    <w:p>
      <w:pPr>
        <w:jc w:val="center"/>
      </w:pPr>
      <w:r>
        <w:drawing>
          <wp:inline distT="0" distB="0" distL="114300" distR="114300">
            <wp:extent cx="4870450" cy="3054985"/>
            <wp:effectExtent l="0" t="0" r="6350" b="5715"/>
            <wp:docPr id="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2"/>
                    <pic:cNvPicPr>
                      <a:picLocks noChangeAspect="1"/>
                    </pic:cNvPicPr>
                  </pic:nvPicPr>
                  <pic:blipFill>
                    <a:blip r:embed="rId27"/>
                    <a:stretch>
                      <a:fillRect/>
                    </a:stretch>
                  </pic:blipFill>
                  <pic:spPr>
                    <a:xfrm>
                      <a:off x="0" y="0"/>
                      <a:ext cx="4870450" cy="3054985"/>
                    </a:xfrm>
                    <a:prstGeom prst="rect">
                      <a:avLst/>
                    </a:prstGeom>
                    <a:noFill/>
                    <a:ln>
                      <a:noFill/>
                    </a:ln>
                  </pic:spPr>
                </pic:pic>
              </a:graphicData>
            </a:graphic>
          </wp:inline>
        </w:drawing>
      </w:r>
    </w:p>
    <w:p>
      <w:pPr>
        <w:jc w:val="center"/>
        <w:rPr>
          <w:rFonts w:hint="eastAsia"/>
          <w:highlight w:val="none"/>
          <w:lang w:val="en-US" w:eastAsia="zh-CN"/>
        </w:rPr>
      </w:pPr>
      <w:r>
        <w:rPr>
          <w:rFonts w:hint="eastAsia"/>
          <w:lang w:val="en-US" w:eastAsia="zh-CN"/>
        </w:rPr>
        <w:t xml:space="preserve">Figure 3: </w:t>
      </w:r>
      <w:r>
        <w:rPr>
          <w:rFonts w:hint="eastAsia"/>
          <w:highlight w:val="none"/>
          <w:lang w:eastAsia="zh-CN"/>
        </w:rPr>
        <w:t>Performance of</w:t>
      </w:r>
      <w:r>
        <w:rPr>
          <w:rFonts w:hint="eastAsia"/>
          <w:highlight w:val="none"/>
          <w:lang w:val="en-US" w:eastAsia="zh-CN"/>
        </w:rPr>
        <w:t xml:space="preserve"> joint channel estimation for PUCCH w/ or w/o RFE </w:t>
      </w:r>
      <w:r>
        <w:rPr>
          <w:rFonts w:hint="eastAsia"/>
          <w:i w:val="0"/>
          <w:iCs w:val="0"/>
          <w:highlight w:val="none"/>
          <w:lang w:val="en-US" w:eastAsia="zh-CN"/>
        </w:rPr>
        <w:t>in 700MHz Rural scenario</w:t>
      </w:r>
    </w:p>
    <w:p>
      <w:pPr>
        <w:rPr>
          <w:rFonts w:hint="eastAsia"/>
          <w:lang w:val="en-US" w:eastAsia="zh-CN"/>
        </w:rPr>
      </w:pPr>
      <w:r>
        <w:rPr>
          <w:rFonts w:hint="eastAsia"/>
          <w:lang w:val="en-US" w:eastAsia="zh-CN"/>
        </w:rPr>
        <w:t xml:space="preserve">In 700MHz Rural scenario, 8 PUCCH repetitions are assumed, and different bundle size (BS) are simulated. When the BS=1, it means no joint channel estimation is applied. BS = {1,2,4,8} are simulated when frequency hopping (FH) is disabled, while BS = {2,4} when FH is enabled. From the simulation results shown in Figure 3, the performance degradation due to RFE is negligible for all simulated cases in </w:t>
      </w:r>
      <w:r>
        <w:rPr>
          <w:rFonts w:hint="default"/>
          <w:i w:val="0"/>
          <w:iCs w:val="0"/>
          <w:highlight w:val="none"/>
          <w:lang w:val="en-US" w:eastAsia="zh-CN"/>
        </w:rPr>
        <w:t>700MHz Rural scenario</w:t>
      </w:r>
      <w:r>
        <w:rPr>
          <w:rFonts w:hint="eastAsia"/>
          <w:lang w:val="en-US" w:eastAsia="zh-CN"/>
        </w:rPr>
        <w:t xml:space="preserve">. </w:t>
      </w:r>
    </w:p>
    <w:p>
      <w:pPr>
        <w:rPr>
          <w:rFonts w:hint="eastAsia"/>
          <w:lang w:val="en-US" w:eastAsia="zh-CN"/>
        </w:rPr>
      </w:pPr>
    </w:p>
    <w:p>
      <w:pPr>
        <w:rPr>
          <w:rFonts w:hint="default"/>
          <w:lang w:val="en-US" w:eastAsia="zh-CN"/>
        </w:rPr>
      </w:pPr>
      <w:r>
        <w:rPr>
          <w:rFonts w:hint="eastAsia"/>
          <w:b/>
          <w:bCs/>
          <w:i/>
          <w:iCs/>
          <w:lang w:val="en-US" w:eastAsia="zh-CN"/>
        </w:rPr>
        <w:t xml:space="preserve">Observation 3: </w:t>
      </w:r>
      <w:r>
        <w:rPr>
          <w:rFonts w:hint="eastAsia"/>
          <w:i/>
          <w:iCs/>
          <w:highlight w:val="none"/>
          <w:lang w:val="en-US" w:eastAsia="zh-CN"/>
        </w:rPr>
        <w:t xml:space="preserve">The performance impact due to </w:t>
      </w:r>
      <w:r>
        <w:rPr>
          <w:rFonts w:hint="eastAsia"/>
          <w:i/>
          <w:iCs/>
          <w:lang w:val="en-US" w:eastAsia="zh-CN"/>
        </w:rPr>
        <w:t>residual frequency error</w:t>
      </w:r>
      <w:r>
        <w:rPr>
          <w:rFonts w:hint="eastAsia"/>
          <w:i/>
          <w:iCs/>
          <w:highlight w:val="none"/>
          <w:lang w:val="en-US" w:eastAsia="zh-CN"/>
        </w:rPr>
        <w:t xml:space="preserve"> for joint channel estimation for PUCCH is negligible in 700MHz Rural scenario</w:t>
      </w:r>
      <w:r>
        <w:rPr>
          <w:rFonts w:hint="eastAsia"/>
          <w:i/>
          <w:iCs/>
          <w:color w:val="auto"/>
          <w:highlight w:val="none"/>
          <w:lang w:val="en-US" w:eastAsia="zh-CN"/>
        </w:rPr>
        <w:t xml:space="preserve">. </w:t>
      </w:r>
    </w:p>
    <w:p>
      <w:pPr>
        <w:jc w:val="center"/>
      </w:pPr>
      <w:r>
        <w:drawing>
          <wp:inline distT="0" distB="0" distL="114300" distR="114300">
            <wp:extent cx="4841875" cy="3175000"/>
            <wp:effectExtent l="0" t="0" r="9525" b="0"/>
            <wp:docPr id="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4"/>
                    <pic:cNvPicPr>
                      <a:picLocks noChangeAspect="1"/>
                    </pic:cNvPicPr>
                  </pic:nvPicPr>
                  <pic:blipFill>
                    <a:blip r:embed="rId28"/>
                    <a:stretch>
                      <a:fillRect/>
                    </a:stretch>
                  </pic:blipFill>
                  <pic:spPr>
                    <a:xfrm>
                      <a:off x="0" y="0"/>
                      <a:ext cx="4841875" cy="3175000"/>
                    </a:xfrm>
                    <a:prstGeom prst="rect">
                      <a:avLst/>
                    </a:prstGeom>
                    <a:noFill/>
                    <a:ln>
                      <a:noFill/>
                    </a:ln>
                  </pic:spPr>
                </pic:pic>
              </a:graphicData>
            </a:graphic>
          </wp:inline>
        </w:drawing>
      </w:r>
    </w:p>
    <w:p>
      <w:pPr>
        <w:jc w:val="center"/>
        <w:rPr>
          <w:rFonts w:hint="default"/>
          <w:highlight w:val="none"/>
          <w:lang w:val="en-US" w:eastAsia="zh-CN"/>
        </w:rPr>
      </w:pPr>
      <w:r>
        <w:rPr>
          <w:rFonts w:hint="eastAsia"/>
          <w:lang w:val="en-US" w:eastAsia="zh-CN"/>
        </w:rPr>
        <w:t xml:space="preserve">Figure 4: </w:t>
      </w:r>
      <w:r>
        <w:rPr>
          <w:rFonts w:hint="eastAsia"/>
          <w:highlight w:val="none"/>
          <w:lang w:eastAsia="zh-CN"/>
        </w:rPr>
        <w:t>Performance of</w:t>
      </w:r>
      <w:r>
        <w:rPr>
          <w:rFonts w:hint="eastAsia"/>
          <w:highlight w:val="none"/>
          <w:lang w:val="en-US" w:eastAsia="zh-CN"/>
        </w:rPr>
        <w:t xml:space="preserve"> joint channel estimation for PUCCH w/ or w/o RFE i</w:t>
      </w:r>
      <w:r>
        <w:rPr>
          <w:rFonts w:hint="eastAsia"/>
          <w:lang w:val="en-US" w:eastAsia="zh-CN"/>
        </w:rPr>
        <w:t>n 4GHz Urban scenario</w:t>
      </w:r>
    </w:p>
    <w:p>
      <w:pPr>
        <w:rPr>
          <w:rFonts w:hint="eastAsia"/>
          <w:lang w:val="en-US" w:eastAsia="zh-CN"/>
        </w:rPr>
      </w:pPr>
      <w:r>
        <w:rPr>
          <w:rFonts w:hint="eastAsia"/>
          <w:lang w:val="en-US" w:eastAsia="zh-CN"/>
        </w:rPr>
        <w:t xml:space="preserve">In 4GHz Urban scenario, 4 repetitions are assumed and different bundle size are simulated. BS = {1,2} are simulated when FH is disabled, while BS=2 when FH is enabled. From the simulation results shown in Figure 4, the performance degradation due to RFE is significant. About 1~2.5dB performance loss is observed @ BLER=0.01 in our simulation for the simulated cases. </w:t>
      </w:r>
    </w:p>
    <w:p>
      <w:pPr>
        <w:rPr>
          <w:rFonts w:hint="default"/>
          <w:lang w:val="en-US" w:eastAsia="zh-CN"/>
        </w:rPr>
      </w:pPr>
      <w:r>
        <w:rPr>
          <w:rFonts w:hint="eastAsia"/>
          <w:b/>
          <w:bCs/>
          <w:i/>
          <w:iCs/>
          <w:lang w:val="en-US" w:eastAsia="zh-CN"/>
        </w:rPr>
        <w:t xml:space="preserve">Observation 4: </w:t>
      </w:r>
      <w:r>
        <w:rPr>
          <w:rFonts w:hint="eastAsia"/>
          <w:i/>
          <w:iCs/>
          <w:highlight w:val="none"/>
          <w:lang w:val="en-US" w:eastAsia="zh-CN"/>
        </w:rPr>
        <w:t xml:space="preserve">The performance impact due to </w:t>
      </w:r>
      <w:r>
        <w:rPr>
          <w:rFonts w:hint="eastAsia"/>
          <w:i/>
          <w:iCs/>
          <w:lang w:val="en-US" w:eastAsia="zh-CN"/>
        </w:rPr>
        <w:t>residual frequency error</w:t>
      </w:r>
      <w:r>
        <w:rPr>
          <w:rFonts w:hint="eastAsia"/>
          <w:i/>
          <w:iCs/>
          <w:highlight w:val="none"/>
          <w:lang w:val="en-US" w:eastAsia="zh-CN"/>
        </w:rPr>
        <w:t xml:space="preserve"> for joint channel estimation for PUCCH is significant in 4GHz urban scenario, with about 1~2.5dB performance loss @BLER = 0.01 observed.</w:t>
      </w:r>
    </w:p>
    <w:p>
      <w:pPr>
        <w:pStyle w:val="3"/>
        <w:numPr>
          <w:ilvl w:val="1"/>
          <w:numId w:val="1"/>
        </w:numPr>
        <w:bidi w:val="0"/>
        <w:ind w:left="576" w:leftChars="0" w:hanging="576" w:firstLineChars="0"/>
        <w:rPr>
          <w:rFonts w:hint="default"/>
          <w:lang w:val="en-US" w:eastAsia="zh-CN"/>
        </w:rPr>
      </w:pPr>
      <w:r>
        <w:rPr>
          <w:rFonts w:hint="eastAsia" w:eastAsia="等线"/>
          <w:lang w:val="en-US" w:eastAsia="zh-CN"/>
        </w:rPr>
        <w:t>P</w:t>
      </w:r>
      <w:r>
        <w:rPr>
          <w:rFonts w:eastAsia="等线"/>
          <w:lang w:val="en-US" w:eastAsia="zh-CN"/>
        </w:rPr>
        <w:t>hase tolerance level</w:t>
      </w:r>
    </w:p>
    <w:p>
      <w:pPr>
        <w:bidi w:val="0"/>
        <w:rPr>
          <w:rFonts w:hint="default"/>
          <w:lang w:val="en-US" w:eastAsia="zh-CN"/>
        </w:rPr>
      </w:pPr>
      <w:r>
        <w:rPr>
          <w:rFonts w:hint="eastAsia"/>
          <w:lang w:val="en-US" w:eastAsia="zh-CN"/>
        </w:rPr>
        <w:t xml:space="preserve">Given the potential large impact due to RFE, the acceptable tolerance from network performance perspective should be evaluated in a </w:t>
      </w:r>
      <w:r>
        <w:rPr>
          <w:rFonts w:hint="eastAsia" w:ascii="Times New Roman" w:hAnsi="Times New Roman" w:eastAsia="宋体" w:cs="Times New Roman"/>
          <w:i w:val="0"/>
          <w:caps w:val="0"/>
          <w:color w:val="auto"/>
          <w:spacing w:val="0"/>
          <w:sz w:val="20"/>
          <w:szCs w:val="20"/>
          <w:shd w:val="clear" w:fill="auto"/>
          <w:lang w:eastAsia="zh-CN"/>
        </w:rPr>
        <w:t>quantitative</w:t>
      </w:r>
      <w:r>
        <w:rPr>
          <w:rStyle w:val="52"/>
          <w:rFonts w:hint="eastAsia" w:ascii="Times New Roman" w:hAnsi="Times New Roman" w:eastAsia="宋体" w:cs="Times New Roman"/>
          <w:b w:val="0"/>
          <w:i w:val="0"/>
          <w:caps w:val="0"/>
          <w:spacing w:val="0"/>
          <w:sz w:val="20"/>
          <w:szCs w:val="20"/>
          <w:shd w:val="clear"/>
          <w:lang w:eastAsia="zh-CN"/>
        </w:rPr>
        <w:t> </w:t>
      </w:r>
      <w:r>
        <w:rPr>
          <w:rStyle w:val="52"/>
          <w:rFonts w:hint="eastAsia" w:ascii="Times New Roman" w:hAnsi="Times New Roman" w:eastAsia="宋体" w:cs="Times New Roman"/>
          <w:b w:val="0"/>
          <w:i w:val="0"/>
          <w:caps w:val="0"/>
          <w:spacing w:val="0"/>
          <w:sz w:val="20"/>
          <w:szCs w:val="20"/>
          <w:shd w:val="clear"/>
          <w:lang w:val="en-US" w:eastAsia="zh-CN"/>
        </w:rPr>
        <w:t>manner</w:t>
      </w:r>
      <w:r>
        <w:rPr>
          <w:rFonts w:hint="eastAsia" w:cs="Times New Roman"/>
          <w:b w:val="0"/>
          <w:i w:val="0"/>
          <w:caps w:val="0"/>
          <w:spacing w:val="0"/>
          <w:sz w:val="20"/>
          <w:szCs w:val="20"/>
          <w:shd w:val="clear"/>
          <w:lang w:val="en-US" w:eastAsia="zh-CN"/>
        </w:rPr>
        <w:t>.</w:t>
      </w:r>
      <w:r>
        <w:rPr>
          <w:rFonts w:hint="eastAsia"/>
          <w:lang w:val="en-US" w:eastAsia="zh-CN"/>
        </w:rPr>
        <w:t xml:space="preserve"> In this section, the simulation cases listed in Table 1 are evaluated to check the impacts of phase discontinuity on the PUSCH performance and detailed simulation assumptions are listed in the appendix.</w:t>
      </w:r>
    </w:p>
    <w:p>
      <w:pPr>
        <w:pStyle w:val="152"/>
        <w:bidi w:val="0"/>
        <w:spacing w:before="137" w:beforeLines="50"/>
        <w:jc w:val="center"/>
        <w:rPr>
          <w:rFonts w:hint="default"/>
          <w:b/>
          <w:bCs/>
          <w:lang w:val="en-US" w:eastAsia="zh-CN"/>
        </w:rPr>
      </w:pPr>
      <w:r>
        <w:rPr>
          <w:rFonts w:hint="eastAsia"/>
          <w:b/>
          <w:bCs/>
          <w:lang w:val="en-US" w:eastAsia="zh-CN"/>
        </w:rPr>
        <w:t>Table 1. Evaluation cases for phase continuity</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2"/>
        <w:gridCol w:w="4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shd w:val="clear" w:color="auto" w:fill="F1F1F1" w:themeFill="background1" w:themeFillShade="F2"/>
            <w:vAlign w:val="top"/>
          </w:tcPr>
          <w:p>
            <w:pPr>
              <w:pStyle w:val="152"/>
              <w:bidi w:val="0"/>
              <w:spacing w:before="120" w:line="280" w:lineRule="atLeast"/>
              <w:rPr>
                <w:rFonts w:hint="default"/>
                <w:b/>
                <w:bCs/>
                <w:vertAlign w:val="baseline"/>
                <w:lang w:val="en-US" w:eastAsia="zh-CN"/>
              </w:rPr>
            </w:pPr>
            <w:r>
              <w:rPr>
                <w:rFonts w:hint="eastAsia"/>
                <w:b/>
                <w:bCs/>
                <w:vertAlign w:val="baseline"/>
                <w:lang w:val="en-US" w:eastAsia="zh-CN"/>
              </w:rPr>
              <w:t>Configurations</w:t>
            </w:r>
          </w:p>
        </w:tc>
        <w:tc>
          <w:tcPr>
            <w:tcW w:w="4843" w:type="dxa"/>
            <w:shd w:val="clear" w:color="auto" w:fill="F1F1F1" w:themeFill="background1" w:themeFillShade="F2"/>
            <w:vAlign w:val="top"/>
          </w:tcPr>
          <w:p>
            <w:pPr>
              <w:pStyle w:val="152"/>
              <w:bidi w:val="0"/>
              <w:spacing w:before="120" w:line="280" w:lineRule="atLeast"/>
              <w:rPr>
                <w:rFonts w:hint="default"/>
                <w:b/>
                <w:bCs/>
                <w:vertAlign w:val="baseline"/>
                <w:lang w:val="en-US" w:eastAsia="zh-CN"/>
              </w:rPr>
            </w:pPr>
            <w:r>
              <w:rPr>
                <w:rFonts w:hint="eastAsia"/>
                <w:b/>
                <w:bCs/>
                <w:vertAlign w:val="baseline"/>
                <w:lang w:val="en-US" w:eastAsia="zh-CN"/>
              </w:rPr>
              <w:t>Simulation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top"/>
          </w:tcPr>
          <w:p>
            <w:pPr>
              <w:pStyle w:val="152"/>
              <w:bidi w:val="0"/>
              <w:spacing w:before="120" w:line="280" w:lineRule="atLeast"/>
              <w:rPr>
                <w:rFonts w:hint="eastAsia"/>
                <w:sz w:val="20"/>
                <w:szCs w:val="20"/>
                <w:vertAlign w:val="baseline"/>
                <w:lang w:val="en-US" w:eastAsia="zh-CN"/>
              </w:rPr>
            </w:pPr>
            <w:r>
              <w:rPr>
                <w:rFonts w:hint="eastAsia"/>
                <w:sz w:val="20"/>
                <w:szCs w:val="20"/>
                <w:vertAlign w:val="baseline"/>
                <w:lang w:val="en-US" w:eastAsia="zh-CN"/>
              </w:rPr>
              <w:t>Phase discontinuity across 2 repetitions</w:t>
            </w:r>
          </w:p>
          <w:p>
            <w:pPr>
              <w:pStyle w:val="152"/>
              <w:bidi w:val="0"/>
              <w:spacing w:before="120" w:line="280" w:lineRule="atLeast"/>
              <w:rPr>
                <w:rFonts w:hint="default"/>
                <w:sz w:val="20"/>
                <w:szCs w:val="20"/>
                <w:vertAlign w:val="baseline"/>
                <w:lang w:val="en-US" w:eastAsia="zh-CN"/>
              </w:rPr>
            </w:pPr>
            <w:r>
              <w:rPr>
                <w:rFonts w:hint="eastAsia" w:ascii="Times New Roman" w:hAnsi="Times New Roman" w:eastAsia="宋体" w:cs="Times New Roman"/>
                <w:kern w:val="2"/>
                <w:sz w:val="20"/>
                <w:szCs w:val="20"/>
                <w:vertAlign w:val="baseline"/>
                <w:lang w:val="zh-CN" w:eastAsia="zh-CN" w:bidi="ar-SA"/>
              </w:rPr>
              <w:t>700MHz</w:t>
            </w:r>
            <w:r>
              <w:rPr>
                <w:rFonts w:hint="eastAsia" w:ascii="Times New Roman" w:hAnsi="Times New Roman" w:eastAsia="宋体" w:cs="Times New Roman"/>
                <w:kern w:val="2"/>
                <w:sz w:val="20"/>
                <w:szCs w:val="20"/>
                <w:highlight w:val="none"/>
                <w:vertAlign w:val="baseline"/>
                <w:lang w:val="zh-CN" w:eastAsia="zh-CN" w:bidi="ar-SA"/>
              </w:rPr>
              <w:t>/4GHz</w:t>
            </w:r>
          </w:p>
        </w:tc>
        <w:tc>
          <w:tcPr>
            <w:tcW w:w="4843" w:type="dxa"/>
            <w:vAlign w:val="top"/>
          </w:tcPr>
          <w:p>
            <w:pPr>
              <w:pStyle w:val="152"/>
              <w:spacing w:before="120" w:beforeLines="0" w:afterLines="0" w:line="280" w:lineRule="atLeast"/>
              <w:jc w:val="left"/>
              <w:rPr>
                <w:rFonts w:hint="eastAsia" w:ascii="Times New Roman" w:hAnsi="Times New Roman" w:eastAsia="宋体" w:cs="Times New Roman"/>
                <w:kern w:val="2"/>
                <w:sz w:val="20"/>
                <w:szCs w:val="20"/>
                <w:vertAlign w:val="baseline"/>
                <w:lang w:val="zh-CN" w:eastAsia="zh-CN" w:bidi="ar-SA"/>
              </w:rPr>
            </w:pPr>
            <w:r>
              <w:rPr>
                <w:rFonts w:hint="eastAsia" w:ascii="Times New Roman" w:hAnsi="Times New Roman" w:eastAsia="宋体" w:cs="Times New Roman"/>
                <w:kern w:val="2"/>
                <w:sz w:val="20"/>
                <w:szCs w:val="20"/>
                <w:vertAlign w:val="baseline"/>
                <w:lang w:val="zh-CN" w:eastAsia="zh-CN" w:bidi="ar-SA"/>
              </w:rPr>
              <w:t>2 repetition</w:t>
            </w:r>
            <w:r>
              <w:rPr>
                <w:rFonts w:hint="eastAsia" w:cs="Times New Roman"/>
                <w:kern w:val="2"/>
                <w:sz w:val="20"/>
                <w:szCs w:val="20"/>
                <w:vertAlign w:val="baseline"/>
                <w:lang w:val="en-US" w:eastAsia="zh-CN" w:bidi="ar-SA"/>
              </w:rPr>
              <w:t>s</w:t>
            </w:r>
            <w:r>
              <w:rPr>
                <w:rFonts w:hint="eastAsia" w:ascii="Times New Roman" w:hAnsi="Times New Roman" w:eastAsia="宋体" w:cs="Times New Roman"/>
                <w:kern w:val="2"/>
                <w:sz w:val="20"/>
                <w:szCs w:val="20"/>
                <w:vertAlign w:val="baseline"/>
                <w:lang w:val="zh-CN" w:eastAsia="zh-CN" w:bidi="ar-SA"/>
              </w:rPr>
              <w:t xml:space="preserve"> </w:t>
            </w:r>
          </w:p>
          <w:p>
            <w:pPr>
              <w:pStyle w:val="152"/>
              <w:spacing w:before="120" w:beforeLines="0" w:afterLines="0" w:line="280" w:lineRule="atLeast"/>
              <w:jc w:val="left"/>
              <w:rPr>
                <w:rFonts w:hint="eastAsia" w:ascii="Times New Roman" w:hAnsi="Times New Roman" w:eastAsia="宋体" w:cs="Times New Roman"/>
                <w:kern w:val="2"/>
                <w:sz w:val="20"/>
                <w:szCs w:val="20"/>
                <w:vertAlign w:val="baseline"/>
                <w:lang w:val="zh-CN" w:eastAsia="zh-CN" w:bidi="ar-SA"/>
              </w:rPr>
            </w:pPr>
            <w:r>
              <w:rPr>
                <w:rFonts w:hint="eastAsia" w:ascii="Times New Roman" w:hAnsi="Times New Roman" w:eastAsia="宋体" w:cs="Times New Roman"/>
                <w:kern w:val="2"/>
                <w:sz w:val="20"/>
                <w:szCs w:val="20"/>
                <w:vertAlign w:val="baseline"/>
                <w:lang w:val="zh-CN" w:eastAsia="zh-CN" w:bidi="ar-SA"/>
              </w:rPr>
              <w:t>Phase error</w:t>
            </w:r>
            <w:r>
              <w:rPr>
                <w:rFonts w:hint="eastAsia" w:cs="Times New Roman"/>
                <w:kern w:val="2"/>
                <w:sz w:val="20"/>
                <w:szCs w:val="20"/>
                <w:vertAlign w:val="baseline"/>
                <w:lang w:val="en-US" w:eastAsia="zh-CN" w:bidi="ar-SA"/>
              </w:rPr>
              <w:t xml:space="preserve"> for the first repetition</w:t>
            </w:r>
            <w:r>
              <w:rPr>
                <w:rFonts w:hint="eastAsia" w:ascii="Times New Roman" w:hAnsi="Times New Roman" w:eastAsia="宋体" w:cs="Times New Roman"/>
                <w:kern w:val="2"/>
                <w:sz w:val="20"/>
                <w:szCs w:val="20"/>
                <w:vertAlign w:val="baseline"/>
                <w:lang w:val="en-US" w:eastAsia="zh-CN" w:bidi="ar-SA"/>
              </w:rPr>
              <w:t xml:space="preserve">: </w:t>
            </w:r>
            <w:r>
              <w:rPr>
                <w:rFonts w:hint="eastAsia" w:ascii="Times New Roman" w:hAnsi="Times New Roman" w:eastAsia="宋体" w:cs="Times New Roman"/>
                <w:kern w:val="2"/>
                <w:sz w:val="20"/>
                <w:szCs w:val="20"/>
                <w:vertAlign w:val="baseline"/>
                <w:lang w:val="zh-CN" w:eastAsia="zh-CN" w:bidi="ar-SA"/>
              </w:rPr>
              <w:t>0</w:t>
            </w:r>
            <w:r>
              <w:rPr>
                <w:rFonts w:hint="eastAsia"/>
                <w:vertAlign w:val="superscript"/>
                <w:lang w:val="en-US" w:eastAsia="zh-CN"/>
              </w:rPr>
              <w:t>o</w:t>
            </w:r>
          </w:p>
          <w:p>
            <w:pPr>
              <w:pStyle w:val="152"/>
              <w:bidi w:val="0"/>
              <w:spacing w:before="120" w:line="280" w:lineRule="atLeast"/>
              <w:rPr>
                <w:rFonts w:hint="eastAsia" w:ascii="Times New Roman" w:hAnsi="Times New Roman" w:eastAsia="宋体" w:cs="Times New Roman"/>
                <w:kern w:val="2"/>
                <w:sz w:val="20"/>
                <w:szCs w:val="20"/>
                <w:vertAlign w:val="baseline"/>
                <w:lang w:val="en-US" w:eastAsia="zh-CN" w:bidi="ar-SA"/>
              </w:rPr>
            </w:pPr>
            <w:r>
              <w:rPr>
                <w:rFonts w:hint="eastAsia" w:ascii="Times New Roman" w:hAnsi="Times New Roman" w:eastAsia="宋体" w:cs="Times New Roman"/>
                <w:kern w:val="2"/>
                <w:sz w:val="20"/>
                <w:szCs w:val="20"/>
                <w:vertAlign w:val="baseline"/>
                <w:lang w:val="en-US" w:eastAsia="zh-CN" w:bidi="ar-SA"/>
              </w:rPr>
              <w:t xml:space="preserve">Relative </w:t>
            </w:r>
            <w:r>
              <w:rPr>
                <w:rFonts w:hint="eastAsia" w:cs="Times New Roman"/>
                <w:kern w:val="2"/>
                <w:sz w:val="20"/>
                <w:szCs w:val="20"/>
                <w:vertAlign w:val="baseline"/>
                <w:lang w:val="en-US" w:eastAsia="zh-CN" w:bidi="ar-SA"/>
              </w:rPr>
              <w:t>p</w:t>
            </w:r>
            <w:r>
              <w:rPr>
                <w:rFonts w:hint="eastAsia" w:ascii="Times New Roman" w:hAnsi="Times New Roman" w:eastAsia="宋体" w:cs="Times New Roman"/>
                <w:kern w:val="2"/>
                <w:sz w:val="20"/>
                <w:szCs w:val="20"/>
                <w:vertAlign w:val="baseline"/>
                <w:lang w:val="zh-CN" w:eastAsia="zh-CN" w:bidi="ar-SA"/>
              </w:rPr>
              <w:t>hase error</w:t>
            </w:r>
            <w:r>
              <w:rPr>
                <w:rFonts w:hint="eastAsia" w:cs="Times New Roman"/>
                <w:kern w:val="2"/>
                <w:sz w:val="20"/>
                <w:szCs w:val="20"/>
                <w:vertAlign w:val="baseline"/>
                <w:lang w:val="en-US" w:eastAsia="zh-CN" w:bidi="ar-SA"/>
              </w:rPr>
              <w:t xml:space="preserve"> for the second repetition </w:t>
            </w:r>
            <w:r>
              <w:rPr>
                <w:rFonts w:hint="eastAsia" w:ascii="Times New Roman" w:hAnsi="Times New Roman" w:eastAsia="宋体" w:cs="Times New Roman"/>
                <w:kern w:val="2"/>
                <w:sz w:val="20"/>
                <w:szCs w:val="20"/>
                <w:vertAlign w:val="baseline"/>
                <w:lang w:val="en-US" w:eastAsia="zh-CN" w:bidi="ar-SA"/>
              </w:rPr>
              <w:t>:</w:t>
            </w:r>
            <w:r>
              <w:rPr>
                <w:rFonts w:hint="eastAsia" w:cs="Times New Roman"/>
                <w:kern w:val="2"/>
                <w:sz w:val="20"/>
                <w:szCs w:val="20"/>
                <w:vertAlign w:val="baseline"/>
                <w:lang w:val="en-US" w:eastAsia="zh-CN" w:bidi="ar-SA"/>
              </w:rPr>
              <w:t xml:space="preserve"> </w:t>
            </w:r>
            <w:r>
              <w:rPr>
                <w:rFonts w:hint="eastAsia" w:ascii="Times New Roman" w:hAnsi="Times New Roman" w:eastAsia="宋体" w:cs="Times New Roman"/>
                <w:kern w:val="2"/>
                <w:sz w:val="20"/>
                <w:szCs w:val="20"/>
                <w:vertAlign w:val="baseline"/>
                <w:lang w:val="zh-CN" w:eastAsia="zh-CN" w:bidi="ar-SA"/>
              </w:rPr>
              <w:t>10</w:t>
            </w:r>
            <w:r>
              <w:rPr>
                <w:rFonts w:hint="eastAsia"/>
                <w:vertAlign w:val="superscript"/>
                <w:lang w:val="en-US" w:eastAsia="zh-CN"/>
              </w:rPr>
              <w:t>o</w:t>
            </w:r>
            <w:r>
              <w:rPr>
                <w:rFonts w:hint="eastAsia" w:ascii="Times New Roman" w:hAnsi="Times New Roman" w:eastAsia="宋体" w:cs="Times New Roman"/>
                <w:kern w:val="2"/>
                <w:sz w:val="20"/>
                <w:szCs w:val="20"/>
                <w:vertAlign w:val="baseline"/>
                <w:lang w:val="zh-CN" w:eastAsia="zh-CN" w:bidi="ar-SA"/>
              </w:rPr>
              <w:t>: 20</w:t>
            </w:r>
            <w:r>
              <w:rPr>
                <w:rFonts w:hint="eastAsia"/>
                <w:vertAlign w:val="superscript"/>
                <w:lang w:val="en-US" w:eastAsia="zh-CN"/>
              </w:rPr>
              <w:t>o</w:t>
            </w:r>
            <w:r>
              <w:rPr>
                <w:rFonts w:hint="eastAsia" w:ascii="Times New Roman" w:hAnsi="Times New Roman" w:eastAsia="宋体" w:cs="Times New Roman"/>
                <w:kern w:val="2"/>
                <w:sz w:val="20"/>
                <w:szCs w:val="20"/>
                <w:vertAlign w:val="baseline"/>
                <w:lang w:val="zh-CN" w:eastAsia="zh-CN" w:bidi="ar-SA"/>
              </w:rPr>
              <w:t>: 150</w:t>
            </w:r>
            <w:r>
              <w:rPr>
                <w:rFonts w:hint="eastAsia"/>
                <w:vertAlign w:val="superscript"/>
                <w:lang w:val="en-US" w:eastAsia="zh-CN"/>
              </w:rPr>
              <w:t>o</w:t>
            </w:r>
            <w:r>
              <w:rPr>
                <w:rFonts w:hint="eastAsia"/>
                <w:vertAlign w:val="baseline"/>
                <w:lang w:val="en-US" w:eastAsia="zh-CN"/>
              </w:rPr>
              <w:t>. T</w:t>
            </w:r>
            <w:r>
              <w:rPr>
                <w:rFonts w:hint="eastAsia" w:cs="Times New Roman"/>
                <w:kern w:val="2"/>
                <w:sz w:val="20"/>
                <w:szCs w:val="20"/>
                <w:vertAlign w:val="baseline"/>
                <w:lang w:val="en-US" w:eastAsia="zh-CN" w:bidi="ar-SA"/>
              </w:rPr>
              <w:t>he baseline is when the r</w:t>
            </w:r>
            <w:r>
              <w:rPr>
                <w:rFonts w:hint="eastAsia" w:ascii="Times New Roman" w:hAnsi="Times New Roman" w:eastAsia="宋体" w:cs="Times New Roman"/>
                <w:kern w:val="2"/>
                <w:sz w:val="20"/>
                <w:szCs w:val="20"/>
                <w:vertAlign w:val="baseline"/>
                <w:lang w:val="en-US" w:eastAsia="zh-CN" w:bidi="ar-SA"/>
              </w:rPr>
              <w:t xml:space="preserve">elative </w:t>
            </w:r>
            <w:r>
              <w:rPr>
                <w:rFonts w:hint="eastAsia" w:cs="Times New Roman"/>
                <w:kern w:val="2"/>
                <w:sz w:val="20"/>
                <w:szCs w:val="20"/>
                <w:vertAlign w:val="baseline"/>
                <w:lang w:val="en-US" w:eastAsia="zh-CN" w:bidi="ar-SA"/>
              </w:rPr>
              <w:t>p</w:t>
            </w:r>
            <w:r>
              <w:rPr>
                <w:rFonts w:hint="eastAsia" w:ascii="Times New Roman" w:hAnsi="Times New Roman" w:eastAsia="宋体" w:cs="Times New Roman"/>
                <w:kern w:val="2"/>
                <w:sz w:val="20"/>
                <w:szCs w:val="20"/>
                <w:vertAlign w:val="baseline"/>
                <w:lang w:val="zh-CN" w:eastAsia="zh-CN" w:bidi="ar-SA"/>
              </w:rPr>
              <w:t>hase error</w:t>
            </w:r>
            <w:r>
              <w:rPr>
                <w:rFonts w:hint="eastAsia" w:cs="Times New Roman"/>
                <w:kern w:val="2"/>
                <w:sz w:val="20"/>
                <w:szCs w:val="20"/>
                <w:vertAlign w:val="baseline"/>
                <w:lang w:val="en-US" w:eastAsia="zh-CN" w:bidi="ar-SA"/>
              </w:rPr>
              <w:t xml:space="preserve"> is 0</w:t>
            </w:r>
            <w:r>
              <w:rPr>
                <w:rFonts w:hint="eastAsia"/>
                <w:vertAlign w:val="superscript"/>
                <w:lang w:val="en-US" w:eastAsia="zh-CN"/>
              </w:rPr>
              <w:t>o</w:t>
            </w:r>
            <w:r>
              <w:rPr>
                <w:rFonts w:hint="eastAsia" w:cs="Times New Roman"/>
                <w:kern w:val="2"/>
                <w:sz w:val="20"/>
                <w:szCs w:val="20"/>
                <w:vertAlign w:val="baseline"/>
                <w:lang w:val="en-US" w:eastAsia="zh-CN" w:bidi="ar-SA"/>
              </w:rPr>
              <w:t xml:space="preserve">. </w:t>
            </w:r>
          </w:p>
        </w:tc>
      </w:tr>
    </w:tbl>
    <w:p>
      <w:pPr>
        <w:pStyle w:val="152"/>
        <w:bidi w:val="0"/>
        <w:snapToGrid w:val="0"/>
        <w:spacing w:before="137" w:beforeLines="50" w:after="137" w:afterLines="50"/>
        <w:jc w:val="both"/>
        <w:rPr>
          <w:rFonts w:hint="eastAsia"/>
          <w:vertAlign w:val="baseline"/>
          <w:lang w:val="en-US" w:eastAsia="zh-CN"/>
        </w:rPr>
      </w:pPr>
      <w:r>
        <w:rPr>
          <w:rFonts w:hint="eastAsia"/>
          <w:lang w:val="en-US" w:eastAsia="zh-CN"/>
        </w:rPr>
        <w:t xml:space="preserve">Preliminary simulation results for PUSCH at 700MHz and 4GHz are provided in Figure 5 and Figure 6 respectively. It can be found that </w:t>
      </w:r>
      <w:r>
        <w:rPr>
          <w:rFonts w:hint="eastAsia"/>
          <w:vertAlign w:val="baseline"/>
          <w:lang w:val="en-US" w:eastAsia="zh-CN"/>
        </w:rPr>
        <w:t>phase error could cause significant performance degradation for PUSCH, and the acceptable phase error between different repetitions should be at least within 30</w:t>
      </w:r>
      <w:r>
        <w:rPr>
          <w:rFonts w:hint="eastAsia"/>
          <w:vertAlign w:val="superscript"/>
          <w:lang w:val="en-US" w:eastAsia="zh-CN"/>
        </w:rPr>
        <w:t>o</w:t>
      </w:r>
      <w:r>
        <w:rPr>
          <w:rFonts w:hint="eastAsia"/>
          <w:vertAlign w:val="baseline"/>
          <w:lang w:val="en-US" w:eastAsia="zh-CN"/>
        </w:rPr>
        <w:t xml:space="preserve"> for both 700MHz and </w:t>
      </w:r>
      <w:r>
        <w:rPr>
          <w:rFonts w:hint="eastAsia"/>
          <w:lang w:val="en-US" w:eastAsia="zh-CN"/>
        </w:rPr>
        <w:t>4GHz</w:t>
      </w:r>
      <w:r>
        <w:rPr>
          <w:rFonts w:hint="eastAsia"/>
          <w:vertAlign w:val="baseline"/>
          <w:lang w:val="en-US" w:eastAsia="zh-CN"/>
        </w:rPr>
        <w:t xml:space="preserve">. </w:t>
      </w:r>
    </w:p>
    <w:p>
      <w:pPr>
        <w:keepNext w:val="0"/>
        <w:keepLines w:val="0"/>
        <w:pageBreakBefore w:val="0"/>
        <w:widowControl/>
        <w:kinsoku/>
        <w:wordWrap/>
        <w:overflowPunct w:val="0"/>
        <w:topLinePunct w:val="0"/>
        <w:autoSpaceDE w:val="0"/>
        <w:autoSpaceDN w:val="0"/>
        <w:bidi w:val="0"/>
        <w:adjustRightInd w:val="0"/>
        <w:snapToGrid w:val="0"/>
        <w:spacing w:before="273" w:beforeLines="100"/>
        <w:jc w:val="center"/>
        <w:textAlignment w:val="baseline"/>
        <w:rPr>
          <w:rFonts w:hint="eastAsia"/>
          <w:b w:val="0"/>
          <w:bCs w:val="0"/>
          <w:i/>
          <w:iCs/>
          <w:lang w:val="en-US" w:eastAsia="zh-CN"/>
        </w:rPr>
      </w:pPr>
      <w:r>
        <w:drawing>
          <wp:inline distT="0" distB="0" distL="114300" distR="114300">
            <wp:extent cx="4572000" cy="2743200"/>
            <wp:effectExtent l="4445" t="4445" r="8255" b="8255"/>
            <wp:docPr id="31" name="图表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pPr>
        <w:pStyle w:val="152"/>
        <w:bidi w:val="0"/>
        <w:jc w:val="center"/>
        <w:rPr>
          <w:rFonts w:hint="eastAsia"/>
          <w:vertAlign w:val="baseline"/>
          <w:lang w:val="en-US" w:eastAsia="zh-CN"/>
        </w:rPr>
      </w:pPr>
      <w:r>
        <w:rPr>
          <w:rFonts w:hint="eastAsia"/>
          <w:lang w:val="en-US" w:eastAsia="zh-CN"/>
        </w:rPr>
        <w:t xml:space="preserve">Figure 5. The performance impact of phase error on joint channel estimation for PUSCH for 700MHz </w:t>
      </w:r>
    </w:p>
    <w:p>
      <w:pPr>
        <w:keepNext w:val="0"/>
        <w:keepLines w:val="0"/>
        <w:pageBreakBefore w:val="0"/>
        <w:widowControl/>
        <w:kinsoku/>
        <w:wordWrap/>
        <w:overflowPunct w:val="0"/>
        <w:topLinePunct w:val="0"/>
        <w:autoSpaceDE w:val="0"/>
        <w:autoSpaceDN w:val="0"/>
        <w:bidi w:val="0"/>
        <w:adjustRightInd w:val="0"/>
        <w:snapToGrid w:val="0"/>
        <w:spacing w:before="273" w:beforeLines="100"/>
        <w:jc w:val="center"/>
        <w:textAlignment w:val="baseline"/>
      </w:pPr>
      <w:r>
        <w:drawing>
          <wp:inline distT="0" distB="0" distL="114300" distR="114300">
            <wp:extent cx="4572000" cy="2743200"/>
            <wp:effectExtent l="4445" t="4445" r="14605" b="14605"/>
            <wp:docPr id="2" name="图表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pPr>
        <w:keepNext w:val="0"/>
        <w:keepLines w:val="0"/>
        <w:pageBreakBefore w:val="0"/>
        <w:widowControl/>
        <w:kinsoku/>
        <w:wordWrap/>
        <w:overflowPunct w:val="0"/>
        <w:topLinePunct w:val="0"/>
        <w:autoSpaceDE w:val="0"/>
        <w:autoSpaceDN w:val="0"/>
        <w:bidi w:val="0"/>
        <w:adjustRightInd w:val="0"/>
        <w:snapToGrid w:val="0"/>
        <w:spacing w:before="273" w:beforeLines="100"/>
        <w:jc w:val="center"/>
        <w:textAlignment w:val="baseline"/>
        <w:rPr>
          <w:rFonts w:hint="eastAsia"/>
          <w:lang w:val="en-US" w:eastAsia="zh-CN"/>
        </w:rPr>
      </w:pPr>
      <w:r>
        <w:rPr>
          <w:rFonts w:hint="eastAsia"/>
          <w:lang w:val="en-US" w:eastAsia="zh-CN"/>
        </w:rPr>
        <w:t xml:space="preserve">Figure 6. The performance impact of phase error on joint channel estimation for PUSCH for 4GHz </w:t>
      </w:r>
    </w:p>
    <w:p>
      <w:pPr>
        <w:keepNext w:val="0"/>
        <w:keepLines w:val="0"/>
        <w:pageBreakBefore w:val="0"/>
        <w:widowControl/>
        <w:kinsoku/>
        <w:wordWrap/>
        <w:overflowPunct w:val="0"/>
        <w:topLinePunct w:val="0"/>
        <w:autoSpaceDE w:val="0"/>
        <w:autoSpaceDN w:val="0"/>
        <w:bidi w:val="0"/>
        <w:adjustRightInd w:val="0"/>
        <w:snapToGrid w:val="0"/>
        <w:spacing w:before="273" w:beforeLines="100"/>
        <w:textAlignment w:val="baseline"/>
        <w:rPr>
          <w:rFonts w:hint="default"/>
          <w:b w:val="0"/>
          <w:bCs w:val="0"/>
          <w:i/>
          <w:iCs/>
          <w:lang w:val="en-US" w:eastAsia="zh-CN"/>
        </w:rPr>
      </w:pPr>
      <w:r>
        <w:rPr>
          <w:rFonts w:hint="eastAsia"/>
          <w:b/>
          <w:bCs/>
          <w:i/>
          <w:iCs/>
          <w:lang w:val="en-US" w:eastAsia="zh-CN"/>
        </w:rPr>
        <w:t xml:space="preserve">Observation 5: </w:t>
      </w:r>
      <w:r>
        <w:rPr>
          <w:rFonts w:hint="eastAsia"/>
          <w:i/>
          <w:iCs/>
          <w:vertAlign w:val="baseline"/>
          <w:lang w:val="en-US" w:eastAsia="zh-CN"/>
        </w:rPr>
        <w:t>Phase error could cause significant performance degradation for PUSCH, and the acceptable phase error between different repetitions should be at least within 30</w:t>
      </w:r>
      <w:r>
        <w:rPr>
          <w:rFonts w:hint="eastAsia"/>
          <w:i/>
          <w:iCs/>
          <w:vertAlign w:val="superscript"/>
          <w:lang w:val="en-US" w:eastAsia="zh-CN"/>
        </w:rPr>
        <w:t xml:space="preserve">o </w:t>
      </w:r>
      <w:r>
        <w:rPr>
          <w:rFonts w:hint="eastAsia"/>
          <w:i/>
          <w:iCs/>
          <w:vertAlign w:val="baseline"/>
          <w:lang w:val="en-US" w:eastAsia="zh-CN"/>
        </w:rPr>
        <w:t>for 700MHz and 4GHz.</w:t>
      </w:r>
    </w:p>
    <w:p>
      <w:pPr>
        <w:keepNext w:val="0"/>
        <w:keepLines w:val="0"/>
        <w:pageBreakBefore w:val="0"/>
        <w:widowControl/>
        <w:kinsoku/>
        <w:wordWrap/>
        <w:overflowPunct w:val="0"/>
        <w:topLinePunct w:val="0"/>
        <w:autoSpaceDE w:val="0"/>
        <w:autoSpaceDN w:val="0"/>
        <w:bidi w:val="0"/>
        <w:adjustRightInd w:val="0"/>
        <w:snapToGrid w:val="0"/>
        <w:spacing w:before="0" w:beforeLines="0"/>
        <w:textAlignment w:val="baseline"/>
        <w:rPr>
          <w:rFonts w:hint="default"/>
          <w:b w:val="0"/>
          <w:bCs w:val="0"/>
          <w:i/>
          <w:iCs/>
          <w:lang w:val="en-US" w:eastAsia="zh-CN"/>
        </w:rPr>
      </w:pPr>
      <w:r>
        <w:rPr>
          <w:rFonts w:hint="eastAsia"/>
          <w:b/>
          <w:bCs/>
          <w:i/>
          <w:iCs/>
          <w:lang w:val="en-US" w:eastAsia="zh-CN"/>
        </w:rPr>
        <w:t xml:space="preserve">Proposal 1: </w:t>
      </w:r>
      <w:r>
        <w:rPr>
          <w:rFonts w:hint="eastAsia"/>
          <w:i/>
          <w:iCs/>
          <w:vertAlign w:val="baseline"/>
          <w:lang w:val="en-US" w:eastAsia="zh-CN"/>
        </w:rPr>
        <w:t>The acceptable phase error between different repetitions for PUSCH should be at least within 30</w:t>
      </w:r>
      <w:r>
        <w:rPr>
          <w:rFonts w:hint="eastAsia"/>
          <w:i/>
          <w:iCs/>
          <w:vertAlign w:val="superscript"/>
          <w:lang w:val="en-US" w:eastAsia="zh-CN"/>
        </w:rPr>
        <w:t xml:space="preserve">o </w:t>
      </w:r>
      <w:r>
        <w:rPr>
          <w:rFonts w:hint="eastAsia"/>
          <w:i/>
          <w:iCs/>
          <w:vertAlign w:val="baseline"/>
          <w:lang w:val="en-US" w:eastAsia="zh-CN"/>
        </w:rPr>
        <w:t>for both 700MHz and 4GHz.</w:t>
      </w:r>
    </w:p>
    <w:p>
      <w:pPr>
        <w:pStyle w:val="3"/>
        <w:numPr>
          <w:ilvl w:val="1"/>
          <w:numId w:val="1"/>
        </w:numPr>
        <w:bidi w:val="0"/>
        <w:ind w:left="576" w:leftChars="0" w:hanging="576" w:firstLineChars="0"/>
        <w:rPr>
          <w:rFonts w:hint="default"/>
          <w:lang w:val="en-US" w:eastAsia="zh-CN"/>
        </w:rPr>
      </w:pPr>
      <w:r>
        <w:rPr>
          <w:rFonts w:hint="eastAsia" w:eastAsia="等线"/>
          <w:lang w:val="en-US" w:eastAsia="zh-CN"/>
        </w:rPr>
        <w:t xml:space="preserve">Amplitude </w:t>
      </w:r>
      <w:r>
        <w:rPr>
          <w:rFonts w:eastAsia="等线"/>
          <w:lang w:val="en-US" w:eastAsia="zh-CN"/>
        </w:rPr>
        <w:t>tolerance level</w:t>
      </w:r>
    </w:p>
    <w:p>
      <w:pPr>
        <w:pStyle w:val="152"/>
        <w:bidi w:val="0"/>
        <w:spacing w:before="120" w:line="280" w:lineRule="atLeast"/>
        <w:rPr>
          <w:rFonts w:hint="default"/>
          <w:lang w:val="en-US" w:eastAsia="zh-CN"/>
        </w:rPr>
      </w:pPr>
      <w:r>
        <w:rPr>
          <w:rFonts w:hint="eastAsia"/>
          <w:highlight w:val="none"/>
          <w:lang w:val="en-US" w:eastAsia="zh-CN"/>
        </w:rPr>
        <w:t>In this section, the performance impact of p</w:t>
      </w:r>
      <w:r>
        <w:rPr>
          <w:rFonts w:hint="eastAsia"/>
          <w:sz w:val="20"/>
          <w:szCs w:val="20"/>
          <w:vertAlign w:val="baseline"/>
          <w:lang w:val="en-US" w:eastAsia="zh-CN"/>
        </w:rPr>
        <w:t xml:space="preserve">ower inconsistency (i..e., </w:t>
      </w:r>
      <w:r>
        <w:rPr>
          <w:rFonts w:hint="eastAsia" w:eastAsia="等线"/>
          <w:lang w:val="en-US" w:eastAsia="zh-CN"/>
        </w:rPr>
        <w:t xml:space="preserve">amplitude </w:t>
      </w:r>
      <w:r>
        <w:rPr>
          <w:rFonts w:eastAsia="等线"/>
          <w:lang w:val="en-US" w:eastAsia="zh-CN"/>
        </w:rPr>
        <w:t>tolerance</w:t>
      </w:r>
      <w:r>
        <w:rPr>
          <w:rFonts w:hint="eastAsia"/>
          <w:sz w:val="20"/>
          <w:szCs w:val="20"/>
          <w:vertAlign w:val="baseline"/>
          <w:lang w:val="en-US" w:eastAsia="zh-CN"/>
        </w:rPr>
        <w:t>) across different repetitions is evaluated. The simulation results for t</w:t>
      </w:r>
      <w:r>
        <w:rPr>
          <w:rFonts w:hint="eastAsia"/>
          <w:lang w:val="en-US" w:eastAsia="zh-CN"/>
        </w:rPr>
        <w:t>he cases listed in Table 2 are provided. Detailed simulation assumptions are listed in the appendix.</w:t>
      </w:r>
    </w:p>
    <w:p>
      <w:pPr>
        <w:pStyle w:val="152"/>
        <w:bidi w:val="0"/>
        <w:spacing w:before="137" w:beforeLines="50"/>
        <w:jc w:val="center"/>
        <w:rPr>
          <w:rFonts w:hint="default"/>
          <w:b/>
          <w:bCs/>
          <w:lang w:val="en-US" w:eastAsia="zh-CN"/>
        </w:rPr>
      </w:pPr>
      <w:r>
        <w:rPr>
          <w:rFonts w:hint="eastAsia"/>
          <w:b/>
          <w:bCs/>
          <w:lang w:val="en-US" w:eastAsia="zh-CN"/>
        </w:rPr>
        <w:t>Table 2. Evaluation cases for phase continuity</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2"/>
        <w:gridCol w:w="4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shd w:val="clear" w:color="auto" w:fill="F1F1F1" w:themeFill="background1" w:themeFillShade="F2"/>
            <w:vAlign w:val="top"/>
          </w:tcPr>
          <w:p>
            <w:pPr>
              <w:pStyle w:val="152"/>
              <w:bidi w:val="0"/>
              <w:spacing w:before="120" w:line="280" w:lineRule="atLeast"/>
              <w:rPr>
                <w:rFonts w:hint="default"/>
                <w:b/>
                <w:bCs/>
                <w:vertAlign w:val="baseline"/>
                <w:lang w:val="en-US" w:eastAsia="zh-CN"/>
              </w:rPr>
            </w:pPr>
            <w:r>
              <w:rPr>
                <w:rFonts w:hint="eastAsia"/>
                <w:b/>
                <w:bCs/>
                <w:vertAlign w:val="baseline"/>
                <w:lang w:val="en-US" w:eastAsia="zh-CN"/>
              </w:rPr>
              <w:t>Configurations</w:t>
            </w:r>
          </w:p>
        </w:tc>
        <w:tc>
          <w:tcPr>
            <w:tcW w:w="4843" w:type="dxa"/>
            <w:shd w:val="clear" w:color="auto" w:fill="F1F1F1" w:themeFill="background1" w:themeFillShade="F2"/>
            <w:vAlign w:val="top"/>
          </w:tcPr>
          <w:p>
            <w:pPr>
              <w:pStyle w:val="152"/>
              <w:bidi w:val="0"/>
              <w:spacing w:before="120" w:line="280" w:lineRule="atLeast"/>
              <w:rPr>
                <w:rFonts w:hint="default"/>
                <w:b/>
                <w:bCs/>
                <w:vertAlign w:val="baseline"/>
                <w:lang w:val="en-US" w:eastAsia="zh-CN"/>
              </w:rPr>
            </w:pPr>
            <w:r>
              <w:rPr>
                <w:rFonts w:hint="eastAsia"/>
                <w:b/>
                <w:bCs/>
                <w:vertAlign w:val="baseline"/>
                <w:lang w:val="en-US" w:eastAsia="zh-CN"/>
              </w:rPr>
              <w:t>Simulation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top"/>
          </w:tcPr>
          <w:p>
            <w:pPr>
              <w:pStyle w:val="152"/>
              <w:bidi w:val="0"/>
              <w:spacing w:before="120" w:line="280" w:lineRule="atLeast"/>
              <w:rPr>
                <w:rFonts w:hint="eastAsia"/>
                <w:sz w:val="20"/>
                <w:szCs w:val="20"/>
                <w:vertAlign w:val="baseline"/>
                <w:lang w:val="en-US" w:eastAsia="zh-CN"/>
              </w:rPr>
            </w:pPr>
            <w:r>
              <w:rPr>
                <w:rFonts w:hint="eastAsia"/>
                <w:sz w:val="20"/>
                <w:szCs w:val="20"/>
                <w:vertAlign w:val="baseline"/>
                <w:lang w:val="en-US" w:eastAsia="zh-CN"/>
              </w:rPr>
              <w:t>Power inconsistency across 2 repetitions</w:t>
            </w:r>
          </w:p>
          <w:p>
            <w:pPr>
              <w:pStyle w:val="152"/>
              <w:bidi w:val="0"/>
              <w:spacing w:before="120" w:line="280" w:lineRule="atLeast"/>
              <w:rPr>
                <w:rFonts w:hint="default"/>
                <w:sz w:val="20"/>
                <w:szCs w:val="20"/>
                <w:vertAlign w:val="baseline"/>
                <w:lang w:val="en-US" w:eastAsia="zh-CN"/>
              </w:rPr>
            </w:pPr>
            <w:r>
              <w:rPr>
                <w:rFonts w:hint="eastAsia" w:ascii="Times New Roman" w:hAnsi="Times New Roman" w:eastAsia="宋体" w:cs="Times New Roman"/>
                <w:kern w:val="2"/>
                <w:sz w:val="20"/>
                <w:szCs w:val="20"/>
                <w:vertAlign w:val="baseline"/>
                <w:lang w:val="zh-CN" w:eastAsia="zh-CN" w:bidi="ar-SA"/>
              </w:rPr>
              <w:t>700MHz</w:t>
            </w:r>
            <w:r>
              <w:rPr>
                <w:rFonts w:hint="eastAsia" w:ascii="Times New Roman" w:hAnsi="Times New Roman" w:eastAsia="宋体" w:cs="Times New Roman"/>
                <w:kern w:val="2"/>
                <w:sz w:val="20"/>
                <w:szCs w:val="20"/>
                <w:highlight w:val="none"/>
                <w:vertAlign w:val="baseline"/>
                <w:lang w:val="zh-CN" w:eastAsia="zh-CN" w:bidi="ar-SA"/>
              </w:rPr>
              <w:t>/4GHz</w:t>
            </w:r>
          </w:p>
        </w:tc>
        <w:tc>
          <w:tcPr>
            <w:tcW w:w="4843" w:type="dxa"/>
            <w:vAlign w:val="top"/>
          </w:tcPr>
          <w:p>
            <w:pPr>
              <w:pStyle w:val="152"/>
              <w:spacing w:before="120" w:beforeLines="0" w:afterLines="0" w:line="280" w:lineRule="atLeast"/>
              <w:jc w:val="left"/>
              <w:rPr>
                <w:rFonts w:hint="eastAsia" w:ascii="Times New Roman" w:hAnsi="Times New Roman" w:eastAsia="宋体" w:cs="Times New Roman"/>
                <w:kern w:val="2"/>
                <w:sz w:val="20"/>
                <w:szCs w:val="20"/>
                <w:vertAlign w:val="baseline"/>
                <w:lang w:val="zh-CN" w:eastAsia="zh-CN" w:bidi="ar-SA"/>
              </w:rPr>
            </w:pPr>
            <w:r>
              <w:rPr>
                <w:rFonts w:hint="eastAsia" w:ascii="Times New Roman" w:hAnsi="Times New Roman" w:eastAsia="宋体" w:cs="Times New Roman"/>
                <w:kern w:val="2"/>
                <w:sz w:val="20"/>
                <w:szCs w:val="20"/>
                <w:vertAlign w:val="baseline"/>
                <w:lang w:val="zh-CN" w:eastAsia="zh-CN" w:bidi="ar-SA"/>
              </w:rPr>
              <w:t>2 repetition</w:t>
            </w:r>
            <w:r>
              <w:rPr>
                <w:rFonts w:hint="eastAsia" w:cs="Times New Roman"/>
                <w:kern w:val="2"/>
                <w:sz w:val="20"/>
                <w:szCs w:val="20"/>
                <w:vertAlign w:val="baseline"/>
                <w:lang w:val="en-US" w:eastAsia="zh-CN" w:bidi="ar-SA"/>
              </w:rPr>
              <w:t>s</w:t>
            </w:r>
            <w:r>
              <w:rPr>
                <w:rFonts w:hint="eastAsia" w:ascii="Times New Roman" w:hAnsi="Times New Roman" w:eastAsia="宋体" w:cs="Times New Roman"/>
                <w:kern w:val="2"/>
                <w:sz w:val="20"/>
                <w:szCs w:val="20"/>
                <w:vertAlign w:val="baseline"/>
                <w:lang w:val="zh-CN" w:eastAsia="zh-CN" w:bidi="ar-SA"/>
              </w:rPr>
              <w:t xml:space="preserve"> </w:t>
            </w:r>
          </w:p>
          <w:p>
            <w:pPr>
              <w:pStyle w:val="152"/>
              <w:spacing w:before="120" w:beforeLines="0" w:afterLines="0" w:line="280" w:lineRule="atLeast"/>
              <w:jc w:val="left"/>
              <w:rPr>
                <w:rFonts w:hint="eastAsia" w:ascii="Times New Roman" w:hAnsi="Times New Roman" w:eastAsia="宋体" w:cs="Times New Roman"/>
                <w:kern w:val="2"/>
                <w:sz w:val="20"/>
                <w:szCs w:val="20"/>
                <w:vertAlign w:val="baseline"/>
                <w:lang w:val="zh-CN" w:eastAsia="zh-CN" w:bidi="ar-SA"/>
              </w:rPr>
            </w:pPr>
            <w:r>
              <w:rPr>
                <w:rFonts w:hint="eastAsia" w:ascii="Times New Roman" w:hAnsi="Times New Roman" w:eastAsia="宋体" w:cs="Times New Roman"/>
                <w:kern w:val="2"/>
                <w:sz w:val="20"/>
                <w:szCs w:val="20"/>
                <w:vertAlign w:val="baseline"/>
                <w:lang w:val="zh-CN" w:eastAsia="zh-CN" w:bidi="ar-SA"/>
              </w:rPr>
              <w:t>Amplitude error</w:t>
            </w:r>
            <w:r>
              <w:rPr>
                <w:rFonts w:hint="eastAsia" w:cs="Times New Roman"/>
                <w:kern w:val="2"/>
                <w:sz w:val="20"/>
                <w:szCs w:val="20"/>
                <w:vertAlign w:val="baseline"/>
                <w:lang w:val="en-US" w:eastAsia="zh-CN" w:bidi="ar-SA"/>
              </w:rPr>
              <w:t xml:space="preserve"> for the first repetition</w:t>
            </w:r>
            <w:r>
              <w:rPr>
                <w:rFonts w:hint="eastAsia" w:ascii="Times New Roman" w:hAnsi="Times New Roman" w:eastAsia="宋体" w:cs="Times New Roman"/>
                <w:kern w:val="2"/>
                <w:sz w:val="20"/>
                <w:szCs w:val="20"/>
                <w:vertAlign w:val="baseline"/>
                <w:lang w:val="en-US" w:eastAsia="zh-CN" w:bidi="ar-SA"/>
              </w:rPr>
              <w:t xml:space="preserve">: </w:t>
            </w:r>
            <w:r>
              <w:rPr>
                <w:rFonts w:hint="eastAsia" w:ascii="Times New Roman" w:hAnsi="Times New Roman" w:eastAsia="宋体" w:cs="Times New Roman"/>
                <w:kern w:val="2"/>
                <w:sz w:val="20"/>
                <w:szCs w:val="20"/>
                <w:vertAlign w:val="baseline"/>
                <w:lang w:val="zh-CN" w:eastAsia="zh-CN" w:bidi="ar-SA"/>
              </w:rPr>
              <w:t>0</w:t>
            </w:r>
            <w:r>
              <w:rPr>
                <w:rFonts w:hint="eastAsia"/>
                <w:vertAlign w:val="superscript"/>
                <w:lang w:val="en-US" w:eastAsia="zh-CN"/>
              </w:rPr>
              <w:t>o</w:t>
            </w:r>
          </w:p>
          <w:p>
            <w:pPr>
              <w:pStyle w:val="152"/>
              <w:bidi w:val="0"/>
              <w:spacing w:before="120" w:line="280" w:lineRule="atLeast"/>
              <w:rPr>
                <w:rFonts w:hint="default" w:ascii="Times New Roman" w:hAnsi="Times New Roman" w:eastAsia="宋体" w:cs="Times New Roman"/>
                <w:kern w:val="2"/>
                <w:sz w:val="20"/>
                <w:szCs w:val="20"/>
                <w:vertAlign w:val="baseline"/>
                <w:lang w:val="en-US" w:eastAsia="zh-CN" w:bidi="ar-SA"/>
              </w:rPr>
            </w:pPr>
            <w:r>
              <w:rPr>
                <w:rFonts w:hint="eastAsia" w:ascii="Times New Roman" w:hAnsi="Times New Roman" w:eastAsia="宋体" w:cs="Times New Roman"/>
                <w:kern w:val="2"/>
                <w:sz w:val="20"/>
                <w:szCs w:val="20"/>
                <w:vertAlign w:val="baseline"/>
                <w:lang w:val="en-US" w:eastAsia="zh-CN" w:bidi="ar-SA"/>
              </w:rPr>
              <w:t xml:space="preserve">Relative </w:t>
            </w:r>
            <w:r>
              <w:rPr>
                <w:rFonts w:hint="eastAsia" w:cs="Times New Roman"/>
                <w:kern w:val="2"/>
                <w:sz w:val="20"/>
                <w:szCs w:val="20"/>
                <w:vertAlign w:val="baseline"/>
                <w:lang w:val="en-US" w:eastAsia="zh-CN" w:bidi="ar-SA"/>
              </w:rPr>
              <w:t>a</w:t>
            </w:r>
            <w:r>
              <w:rPr>
                <w:rFonts w:hint="eastAsia" w:ascii="Times New Roman" w:hAnsi="Times New Roman" w:eastAsia="宋体" w:cs="Times New Roman"/>
                <w:kern w:val="2"/>
                <w:sz w:val="20"/>
                <w:szCs w:val="20"/>
                <w:vertAlign w:val="baseline"/>
                <w:lang w:val="zh-CN" w:eastAsia="zh-CN" w:bidi="ar-SA"/>
              </w:rPr>
              <w:t>mplitude error</w:t>
            </w:r>
            <w:r>
              <w:rPr>
                <w:rFonts w:hint="eastAsia" w:cs="Times New Roman"/>
                <w:kern w:val="2"/>
                <w:sz w:val="20"/>
                <w:szCs w:val="20"/>
                <w:vertAlign w:val="baseline"/>
                <w:lang w:val="en-US" w:eastAsia="zh-CN" w:bidi="ar-SA"/>
              </w:rPr>
              <w:t xml:space="preserve"> for the second repetition </w:t>
            </w:r>
            <w:r>
              <w:rPr>
                <w:rFonts w:hint="eastAsia" w:ascii="Times New Roman" w:hAnsi="Times New Roman" w:eastAsia="宋体" w:cs="Times New Roman"/>
                <w:kern w:val="2"/>
                <w:sz w:val="20"/>
                <w:szCs w:val="20"/>
                <w:vertAlign w:val="baseline"/>
                <w:lang w:val="en-US" w:eastAsia="zh-CN" w:bidi="ar-SA"/>
              </w:rPr>
              <w:t>:</w:t>
            </w:r>
            <w:r>
              <w:rPr>
                <w:rFonts w:hint="eastAsia" w:cs="Times New Roman"/>
                <w:kern w:val="2"/>
                <w:sz w:val="20"/>
                <w:szCs w:val="20"/>
                <w:vertAlign w:val="baseline"/>
                <w:lang w:val="en-US" w:eastAsia="zh-CN" w:bidi="ar-SA"/>
              </w:rPr>
              <w:t xml:space="preserve"> </w:t>
            </w:r>
            <w:r>
              <w:rPr>
                <w:rFonts w:hint="eastAsia" w:ascii="Times New Roman" w:hAnsi="Times New Roman" w:eastAsia="宋体" w:cs="Times New Roman"/>
                <w:kern w:val="2"/>
                <w:sz w:val="20"/>
                <w:szCs w:val="20"/>
                <w:vertAlign w:val="baseline"/>
                <w:lang w:val="en-US" w:eastAsia="zh-CN" w:bidi="ar-SA"/>
              </w:rPr>
              <w:t xml:space="preserve"> </w:t>
            </w:r>
            <w:r>
              <w:rPr>
                <w:rFonts w:hint="eastAsia" w:ascii="Times New Roman" w:hAnsi="Times New Roman" w:eastAsia="宋体" w:cs="Times New Roman"/>
                <w:kern w:val="2"/>
                <w:sz w:val="20"/>
                <w:szCs w:val="20"/>
                <w:vertAlign w:val="baseline"/>
                <w:lang w:val="zh-CN" w:eastAsia="zh-CN" w:bidi="ar-SA"/>
              </w:rPr>
              <w:t>0</w:t>
            </w:r>
            <w:r>
              <w:rPr>
                <w:rFonts w:hint="eastAsia" w:cs="Times New Roman"/>
                <w:kern w:val="2"/>
                <w:sz w:val="20"/>
                <w:szCs w:val="20"/>
                <w:vertAlign w:val="baseline"/>
                <w:lang w:val="en-US" w:eastAsia="zh-CN" w:bidi="ar-SA"/>
              </w:rPr>
              <w:t>dB</w:t>
            </w:r>
            <w:r>
              <w:rPr>
                <w:rFonts w:hint="eastAsia" w:ascii="Times New Roman" w:hAnsi="Times New Roman" w:eastAsia="宋体" w:cs="Times New Roman"/>
                <w:kern w:val="2"/>
                <w:sz w:val="20"/>
                <w:szCs w:val="20"/>
                <w:vertAlign w:val="baseline"/>
                <w:lang w:val="zh-CN" w:eastAsia="zh-CN" w:bidi="ar-SA"/>
              </w:rPr>
              <w:t>: 0.5</w:t>
            </w:r>
            <w:r>
              <w:rPr>
                <w:rFonts w:hint="eastAsia" w:cs="Times New Roman"/>
                <w:kern w:val="2"/>
                <w:sz w:val="20"/>
                <w:szCs w:val="20"/>
                <w:vertAlign w:val="baseline"/>
                <w:lang w:val="en-US" w:eastAsia="zh-CN" w:bidi="ar-SA"/>
              </w:rPr>
              <w:t>dB</w:t>
            </w:r>
            <w:r>
              <w:rPr>
                <w:rFonts w:hint="eastAsia" w:ascii="Times New Roman" w:hAnsi="Times New Roman" w:eastAsia="宋体" w:cs="Times New Roman"/>
                <w:kern w:val="2"/>
                <w:sz w:val="20"/>
                <w:szCs w:val="20"/>
                <w:vertAlign w:val="baseline"/>
                <w:lang w:val="zh-CN" w:eastAsia="zh-CN" w:bidi="ar-SA"/>
              </w:rPr>
              <w:t>: 2d</w:t>
            </w:r>
            <w:r>
              <w:rPr>
                <w:rFonts w:hint="eastAsia" w:cs="Times New Roman"/>
                <w:kern w:val="2"/>
                <w:sz w:val="20"/>
                <w:szCs w:val="20"/>
                <w:vertAlign w:val="baseline"/>
                <w:lang w:val="en-US" w:eastAsia="zh-CN" w:bidi="ar-SA"/>
              </w:rPr>
              <w:t>B, where the baseline is when the r</w:t>
            </w:r>
            <w:r>
              <w:rPr>
                <w:rFonts w:hint="eastAsia" w:ascii="Times New Roman" w:hAnsi="Times New Roman" w:eastAsia="宋体" w:cs="Times New Roman"/>
                <w:kern w:val="2"/>
                <w:sz w:val="20"/>
                <w:szCs w:val="20"/>
                <w:vertAlign w:val="baseline"/>
                <w:lang w:val="en-US" w:eastAsia="zh-CN" w:bidi="ar-SA"/>
              </w:rPr>
              <w:t xml:space="preserve">elative </w:t>
            </w:r>
            <w:r>
              <w:rPr>
                <w:rFonts w:hint="eastAsia" w:cs="Times New Roman"/>
                <w:kern w:val="2"/>
                <w:sz w:val="20"/>
                <w:szCs w:val="20"/>
                <w:vertAlign w:val="baseline"/>
                <w:lang w:val="en-US" w:eastAsia="zh-CN" w:bidi="ar-SA"/>
              </w:rPr>
              <w:t>a</w:t>
            </w:r>
            <w:r>
              <w:rPr>
                <w:rFonts w:hint="eastAsia" w:ascii="Times New Roman" w:hAnsi="Times New Roman" w:eastAsia="宋体" w:cs="Times New Roman"/>
                <w:kern w:val="2"/>
                <w:sz w:val="20"/>
                <w:szCs w:val="20"/>
                <w:vertAlign w:val="baseline"/>
                <w:lang w:val="zh-CN" w:eastAsia="zh-CN" w:bidi="ar-SA"/>
              </w:rPr>
              <w:t>mplitude error</w:t>
            </w:r>
            <w:r>
              <w:rPr>
                <w:rFonts w:hint="eastAsia" w:cs="Times New Roman"/>
                <w:kern w:val="2"/>
                <w:sz w:val="20"/>
                <w:szCs w:val="20"/>
                <w:vertAlign w:val="baseline"/>
                <w:lang w:val="en-US" w:eastAsia="zh-CN" w:bidi="ar-SA"/>
              </w:rPr>
              <w:t xml:space="preserve"> is 0. </w:t>
            </w:r>
          </w:p>
        </w:tc>
      </w:tr>
    </w:tbl>
    <w:p>
      <w:pPr>
        <w:pStyle w:val="152"/>
        <w:bidi w:val="0"/>
        <w:jc w:val="both"/>
        <w:rPr>
          <w:rFonts w:hint="eastAsia"/>
          <w:lang w:val="en-US" w:eastAsia="zh-CN"/>
        </w:rPr>
      </w:pPr>
    </w:p>
    <w:p>
      <w:pPr>
        <w:keepNext w:val="0"/>
        <w:keepLines w:val="0"/>
        <w:pageBreakBefore w:val="0"/>
        <w:widowControl/>
        <w:kinsoku/>
        <w:wordWrap/>
        <w:overflowPunct w:val="0"/>
        <w:topLinePunct w:val="0"/>
        <w:autoSpaceDE w:val="0"/>
        <w:autoSpaceDN w:val="0"/>
        <w:bidi w:val="0"/>
        <w:adjustRightInd w:val="0"/>
        <w:snapToGrid w:val="0"/>
        <w:spacing w:before="273" w:beforeLines="100"/>
        <w:textAlignment w:val="baseline"/>
        <w:rPr>
          <w:rFonts w:hint="eastAsia"/>
          <w:lang w:val="en-US" w:eastAsia="zh-CN"/>
        </w:rPr>
      </w:pPr>
      <w:r>
        <w:rPr>
          <w:rFonts w:hint="eastAsia"/>
          <w:lang w:val="en-US" w:eastAsia="zh-CN"/>
        </w:rPr>
        <w:t>Preliminary simulation results for PUSCH at 700MHz and 4GHz are provided in Figure 7 and Figure 8 respectively. It can be found that 0.5dB amplitude error will cause large performance degradation (e..g at least 1.5-2dB deterioration @10% BLER), the acceptable amplitude error between different repetitions should be less than 0.5dB.</w:t>
      </w:r>
    </w:p>
    <w:p>
      <w:pPr>
        <w:keepNext w:val="0"/>
        <w:keepLines w:val="0"/>
        <w:pageBreakBefore w:val="0"/>
        <w:widowControl/>
        <w:kinsoku/>
        <w:wordWrap/>
        <w:overflowPunct w:val="0"/>
        <w:topLinePunct w:val="0"/>
        <w:autoSpaceDE w:val="0"/>
        <w:autoSpaceDN w:val="0"/>
        <w:bidi w:val="0"/>
        <w:adjustRightInd w:val="0"/>
        <w:snapToGrid w:val="0"/>
        <w:spacing w:before="273" w:beforeLines="100"/>
        <w:jc w:val="center"/>
        <w:textAlignment w:val="baseline"/>
        <w:rPr>
          <w:rFonts w:hint="default"/>
          <w:b w:val="0"/>
          <w:bCs w:val="0"/>
          <w:i/>
          <w:iCs/>
          <w:lang w:val="en-US" w:eastAsia="zh-CN"/>
        </w:rPr>
      </w:pPr>
      <w:r>
        <w:drawing>
          <wp:inline distT="0" distB="0" distL="114300" distR="114300">
            <wp:extent cx="4572000" cy="2743200"/>
            <wp:effectExtent l="4445" t="4445" r="8255" b="8255"/>
            <wp:docPr id="30" name="图表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pPr>
        <w:pStyle w:val="152"/>
        <w:bidi w:val="0"/>
        <w:jc w:val="center"/>
        <w:rPr>
          <w:rFonts w:hint="eastAsia"/>
          <w:i/>
          <w:iCs/>
          <w:vertAlign w:val="baseline"/>
          <w:lang w:val="en-US" w:eastAsia="zh-CN"/>
        </w:rPr>
      </w:pPr>
      <w:r>
        <w:rPr>
          <w:rFonts w:hint="eastAsia"/>
          <w:lang w:val="en-US" w:eastAsia="zh-CN"/>
        </w:rPr>
        <w:t>Figure 7. The performance impact of amplitude error on gNB receiver performance for 700MHz</w:t>
      </w:r>
    </w:p>
    <w:p>
      <w:pPr>
        <w:keepNext w:val="0"/>
        <w:keepLines w:val="0"/>
        <w:pageBreakBefore w:val="0"/>
        <w:widowControl/>
        <w:kinsoku/>
        <w:wordWrap/>
        <w:overflowPunct w:val="0"/>
        <w:topLinePunct w:val="0"/>
        <w:autoSpaceDE w:val="0"/>
        <w:autoSpaceDN w:val="0"/>
        <w:bidi w:val="0"/>
        <w:adjustRightInd w:val="0"/>
        <w:snapToGrid w:val="0"/>
        <w:spacing w:before="273" w:beforeLines="100"/>
        <w:jc w:val="center"/>
        <w:textAlignment w:val="baseline"/>
      </w:pPr>
      <w:r>
        <w:drawing>
          <wp:inline distT="0" distB="0" distL="114300" distR="114300">
            <wp:extent cx="4572000" cy="2743200"/>
            <wp:effectExtent l="4445" t="4445" r="14605" b="14605"/>
            <wp:docPr id="32" name="图表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pPr>
        <w:keepNext w:val="0"/>
        <w:keepLines w:val="0"/>
        <w:pageBreakBefore w:val="0"/>
        <w:widowControl/>
        <w:kinsoku/>
        <w:wordWrap/>
        <w:overflowPunct w:val="0"/>
        <w:topLinePunct w:val="0"/>
        <w:autoSpaceDE w:val="0"/>
        <w:autoSpaceDN w:val="0"/>
        <w:bidi w:val="0"/>
        <w:adjustRightInd w:val="0"/>
        <w:snapToGrid w:val="0"/>
        <w:spacing w:before="273" w:beforeLines="100"/>
        <w:jc w:val="center"/>
        <w:textAlignment w:val="baseline"/>
        <w:rPr>
          <w:rFonts w:hint="default"/>
          <w:lang w:val="en-US"/>
        </w:rPr>
      </w:pPr>
      <w:r>
        <w:rPr>
          <w:rFonts w:hint="eastAsia"/>
          <w:lang w:val="en-US" w:eastAsia="zh-CN"/>
        </w:rPr>
        <w:t>Figure 8. The performance impact of amplitude error on gNB receiver performance for 4GHz</w:t>
      </w:r>
    </w:p>
    <w:p>
      <w:pPr>
        <w:bidi w:val="0"/>
        <w:jc w:val="both"/>
        <w:rPr>
          <w:rFonts w:hint="eastAsia"/>
          <w:b/>
          <w:bCs/>
          <w:i/>
          <w:iCs/>
          <w:lang w:val="en-US" w:eastAsia="zh-CN"/>
        </w:rPr>
      </w:pPr>
    </w:p>
    <w:p>
      <w:pPr>
        <w:bidi w:val="0"/>
        <w:jc w:val="both"/>
        <w:rPr>
          <w:rFonts w:hint="eastAsia"/>
          <w:b/>
          <w:bCs/>
          <w:i/>
          <w:iCs/>
          <w:lang w:val="en-US" w:eastAsia="zh-CN"/>
        </w:rPr>
      </w:pPr>
      <w:r>
        <w:rPr>
          <w:rFonts w:hint="eastAsia"/>
          <w:b/>
          <w:bCs/>
          <w:i/>
          <w:iCs/>
          <w:lang w:val="en-US" w:eastAsia="zh-CN"/>
        </w:rPr>
        <w:t xml:space="preserve">Observation 6: </w:t>
      </w:r>
      <w:r>
        <w:rPr>
          <w:rFonts w:hint="eastAsia"/>
          <w:i/>
          <w:iCs/>
          <w:lang w:val="en-US" w:eastAsia="zh-CN"/>
        </w:rPr>
        <w:t xml:space="preserve">Amplitude </w:t>
      </w:r>
      <w:r>
        <w:rPr>
          <w:rFonts w:hint="eastAsia"/>
          <w:i/>
          <w:iCs/>
          <w:vertAlign w:val="baseline"/>
          <w:lang w:val="en-US" w:eastAsia="zh-CN"/>
        </w:rPr>
        <w:t xml:space="preserve">error could cause significant performance degradation for PUSCH, and </w:t>
      </w:r>
      <w:r>
        <w:rPr>
          <w:rFonts w:hint="eastAsia"/>
          <w:i/>
          <w:iCs/>
          <w:lang w:val="en-US" w:eastAsia="zh-CN"/>
        </w:rPr>
        <w:t xml:space="preserve">0.5dB amplitude error could cause about 1.5-2dB deterioration at 10% BLER </w:t>
      </w:r>
      <w:r>
        <w:rPr>
          <w:rFonts w:hint="eastAsia"/>
          <w:i/>
          <w:iCs/>
          <w:vertAlign w:val="baseline"/>
          <w:lang w:val="en-US" w:eastAsia="zh-CN"/>
        </w:rPr>
        <w:t>for both 700MHz and 4GHz.</w:t>
      </w:r>
    </w:p>
    <w:p>
      <w:pPr>
        <w:bidi w:val="0"/>
        <w:jc w:val="both"/>
        <w:rPr>
          <w:rFonts w:hint="default"/>
          <w:i/>
          <w:iCs/>
          <w:vertAlign w:val="baseline"/>
          <w:lang w:val="en-US" w:eastAsia="zh-CN"/>
        </w:rPr>
      </w:pPr>
      <w:r>
        <w:rPr>
          <w:rFonts w:hint="eastAsia"/>
          <w:b/>
          <w:bCs/>
          <w:i/>
          <w:iCs/>
          <w:lang w:val="en-US" w:eastAsia="zh-CN"/>
        </w:rPr>
        <w:t xml:space="preserve">Proposal 2: </w:t>
      </w:r>
      <w:r>
        <w:rPr>
          <w:rFonts w:hint="eastAsia"/>
          <w:i/>
          <w:iCs/>
          <w:vertAlign w:val="baseline"/>
          <w:lang w:val="en-US" w:eastAsia="zh-CN"/>
        </w:rPr>
        <w:t xml:space="preserve">The acceptable </w:t>
      </w:r>
      <w:r>
        <w:rPr>
          <w:rFonts w:hint="eastAsia"/>
          <w:i/>
          <w:iCs/>
          <w:lang w:val="en-US" w:eastAsia="zh-CN"/>
        </w:rPr>
        <w:t xml:space="preserve">amplitude </w:t>
      </w:r>
      <w:r>
        <w:rPr>
          <w:rFonts w:hint="eastAsia"/>
          <w:i/>
          <w:iCs/>
          <w:vertAlign w:val="baseline"/>
          <w:lang w:val="en-US" w:eastAsia="zh-CN"/>
        </w:rPr>
        <w:t xml:space="preserve">error between different repetitions should be at least </w:t>
      </w:r>
      <w:r>
        <w:rPr>
          <w:rFonts w:hint="eastAsia"/>
          <w:i/>
          <w:iCs/>
          <w:lang w:val="en-US" w:eastAsia="zh-CN"/>
        </w:rPr>
        <w:t>less than 0.5dB</w:t>
      </w:r>
      <w:r>
        <w:rPr>
          <w:rFonts w:hint="eastAsia"/>
          <w:i/>
          <w:iCs/>
          <w:vertAlign w:val="superscript"/>
          <w:lang w:val="en-US" w:eastAsia="zh-CN"/>
        </w:rPr>
        <w:t xml:space="preserve"> </w:t>
      </w:r>
      <w:r>
        <w:rPr>
          <w:rFonts w:hint="eastAsia"/>
          <w:i/>
          <w:iCs/>
          <w:vertAlign w:val="baseline"/>
          <w:lang w:val="en-US" w:eastAsia="zh-CN"/>
        </w:rPr>
        <w:t>for both 700MHz and 4GHz.</w:t>
      </w:r>
    </w:p>
    <w:p>
      <w:pPr>
        <w:pStyle w:val="2"/>
        <w:tabs>
          <w:tab w:val="left" w:pos="432"/>
        </w:tabs>
        <w:spacing w:beforeLines="0" w:after="180" w:afterLines="50"/>
        <w:rPr>
          <w:highlight w:val="none"/>
        </w:rPr>
      </w:pPr>
      <w:r>
        <w:rPr>
          <w:rFonts w:hint="eastAsia"/>
          <w:highlight w:val="none"/>
          <w:lang w:val="en-US" w:eastAsia="zh-CN"/>
        </w:rPr>
        <w:t xml:space="preserve"> </w:t>
      </w:r>
      <w:r>
        <w:rPr>
          <w:rFonts w:hint="eastAsia"/>
          <w:highlight w:val="none"/>
        </w:rPr>
        <w:t>Conclusion</w:t>
      </w:r>
    </w:p>
    <w:p>
      <w:pPr>
        <w:rPr>
          <w:rFonts w:hint="eastAsia" w:eastAsia="宋体"/>
          <w:highlight w:val="none"/>
          <w:lang w:val="en-US" w:eastAsia="zh-CN"/>
        </w:rPr>
      </w:pPr>
      <w:r>
        <w:rPr>
          <w:rFonts w:hint="eastAsia" w:eastAsia="宋体"/>
          <w:highlight w:val="none"/>
          <w:lang w:val="en-US" w:eastAsia="zh-CN"/>
        </w:rPr>
        <w:t>According to the analysis given above, we have the following observations and proposals:</w:t>
      </w:r>
    </w:p>
    <w:p>
      <w:pPr>
        <w:rPr>
          <w:rFonts w:hint="default"/>
          <w:highlight w:val="none"/>
          <w:lang w:val="en-US" w:eastAsia="zh-CN"/>
        </w:rPr>
      </w:pPr>
      <w:r>
        <w:rPr>
          <w:rFonts w:hint="eastAsia"/>
          <w:b/>
          <w:bCs/>
          <w:i/>
          <w:iCs/>
          <w:highlight w:val="none"/>
          <w:lang w:val="en-US" w:eastAsia="zh-CN"/>
        </w:rPr>
        <w:t xml:space="preserve">Observation 1: </w:t>
      </w:r>
      <w:r>
        <w:rPr>
          <w:rFonts w:hint="eastAsia"/>
          <w:i/>
          <w:iCs/>
          <w:highlight w:val="none"/>
          <w:lang w:val="en-US" w:eastAsia="zh-CN"/>
        </w:rPr>
        <w:t xml:space="preserve">The performance impact due to </w:t>
      </w:r>
      <w:r>
        <w:rPr>
          <w:rFonts w:hint="eastAsia"/>
          <w:i/>
          <w:iCs/>
          <w:lang w:val="en-US" w:eastAsia="zh-CN"/>
        </w:rPr>
        <w:t>residual frequency error</w:t>
      </w:r>
      <w:r>
        <w:rPr>
          <w:rFonts w:hint="eastAsia"/>
          <w:i/>
          <w:iCs/>
          <w:highlight w:val="none"/>
          <w:lang w:val="en-US" w:eastAsia="zh-CN"/>
        </w:rPr>
        <w:t xml:space="preserve"> for joint channel estimation for PUSCH is negligible in 700MHz Rural scenario</w:t>
      </w:r>
      <w:r>
        <w:rPr>
          <w:rFonts w:hint="eastAsia"/>
          <w:i/>
          <w:iCs/>
          <w:color w:val="auto"/>
          <w:highlight w:val="none"/>
          <w:lang w:val="en-US" w:eastAsia="zh-CN"/>
        </w:rPr>
        <w:t xml:space="preserve">. </w:t>
      </w:r>
    </w:p>
    <w:p>
      <w:pPr>
        <w:rPr>
          <w:rFonts w:hint="default"/>
          <w:lang w:val="en-US" w:eastAsia="zh-CN"/>
        </w:rPr>
      </w:pPr>
      <w:r>
        <w:rPr>
          <w:rFonts w:hint="eastAsia"/>
          <w:b/>
          <w:bCs/>
          <w:i/>
          <w:iCs/>
          <w:highlight w:val="none"/>
          <w:lang w:val="en-US" w:eastAsia="zh-CN"/>
        </w:rPr>
        <w:t xml:space="preserve">Observation 2: </w:t>
      </w:r>
      <w:r>
        <w:rPr>
          <w:rFonts w:hint="eastAsia"/>
          <w:i/>
          <w:iCs/>
          <w:highlight w:val="none"/>
          <w:lang w:val="en-US" w:eastAsia="zh-CN"/>
        </w:rPr>
        <w:t xml:space="preserve">The performance impact due to </w:t>
      </w:r>
      <w:r>
        <w:rPr>
          <w:rFonts w:hint="eastAsia"/>
          <w:i/>
          <w:iCs/>
          <w:lang w:val="en-US" w:eastAsia="zh-CN"/>
        </w:rPr>
        <w:t>residual frequency error</w:t>
      </w:r>
      <w:r>
        <w:rPr>
          <w:rFonts w:hint="eastAsia"/>
          <w:i/>
          <w:iCs/>
          <w:highlight w:val="none"/>
          <w:lang w:val="en-US" w:eastAsia="zh-CN"/>
        </w:rPr>
        <w:t xml:space="preserve"> for joint channel estimation for PUSCH could be significant in 4GHz Urban scenario, with about 4 dB performance loss @BLER = 0.1 observed</w:t>
      </w:r>
      <w:r>
        <w:rPr>
          <w:rFonts w:hint="eastAsia"/>
          <w:i/>
          <w:iCs/>
          <w:color w:val="auto"/>
          <w:highlight w:val="none"/>
          <w:lang w:val="en-US" w:eastAsia="zh-CN"/>
        </w:rPr>
        <w:t>.</w:t>
      </w:r>
    </w:p>
    <w:p>
      <w:pPr>
        <w:rPr>
          <w:rFonts w:hint="default"/>
          <w:lang w:val="en-US" w:eastAsia="zh-CN"/>
        </w:rPr>
      </w:pPr>
      <w:r>
        <w:rPr>
          <w:rFonts w:hint="eastAsia"/>
          <w:b/>
          <w:bCs/>
          <w:i/>
          <w:iCs/>
          <w:lang w:val="en-US" w:eastAsia="zh-CN"/>
        </w:rPr>
        <w:t xml:space="preserve">Observation 3: </w:t>
      </w:r>
      <w:r>
        <w:rPr>
          <w:rFonts w:hint="eastAsia"/>
          <w:i/>
          <w:iCs/>
          <w:highlight w:val="none"/>
          <w:lang w:val="en-US" w:eastAsia="zh-CN"/>
        </w:rPr>
        <w:t xml:space="preserve">The performance impact due to </w:t>
      </w:r>
      <w:r>
        <w:rPr>
          <w:rFonts w:hint="eastAsia"/>
          <w:i/>
          <w:iCs/>
          <w:lang w:val="en-US" w:eastAsia="zh-CN"/>
        </w:rPr>
        <w:t>residual frequency error</w:t>
      </w:r>
      <w:r>
        <w:rPr>
          <w:rFonts w:hint="eastAsia"/>
          <w:i/>
          <w:iCs/>
          <w:highlight w:val="none"/>
          <w:lang w:val="en-US" w:eastAsia="zh-CN"/>
        </w:rPr>
        <w:t xml:space="preserve"> for joint channel estimation for PUCCH is negligible in 700MHz Rural scenario</w:t>
      </w:r>
      <w:r>
        <w:rPr>
          <w:rFonts w:hint="eastAsia"/>
          <w:i/>
          <w:iCs/>
          <w:color w:val="auto"/>
          <w:highlight w:val="none"/>
          <w:lang w:val="en-US" w:eastAsia="zh-CN"/>
        </w:rPr>
        <w:t xml:space="preserve">. </w:t>
      </w:r>
    </w:p>
    <w:p>
      <w:pPr>
        <w:rPr>
          <w:rFonts w:hint="default"/>
          <w:lang w:val="en-US" w:eastAsia="zh-CN"/>
        </w:rPr>
      </w:pPr>
      <w:r>
        <w:rPr>
          <w:rFonts w:hint="eastAsia"/>
          <w:b/>
          <w:bCs/>
          <w:i/>
          <w:iCs/>
          <w:lang w:val="en-US" w:eastAsia="zh-CN"/>
        </w:rPr>
        <w:t xml:space="preserve">Observation 4: </w:t>
      </w:r>
      <w:r>
        <w:rPr>
          <w:rFonts w:hint="eastAsia"/>
          <w:i/>
          <w:iCs/>
          <w:highlight w:val="none"/>
          <w:lang w:val="en-US" w:eastAsia="zh-CN"/>
        </w:rPr>
        <w:t xml:space="preserve">The performance impact due to </w:t>
      </w:r>
      <w:r>
        <w:rPr>
          <w:rFonts w:hint="eastAsia"/>
          <w:i/>
          <w:iCs/>
          <w:lang w:val="en-US" w:eastAsia="zh-CN"/>
        </w:rPr>
        <w:t>residual frequency error</w:t>
      </w:r>
      <w:r>
        <w:rPr>
          <w:rFonts w:hint="eastAsia"/>
          <w:i/>
          <w:iCs/>
          <w:highlight w:val="none"/>
          <w:lang w:val="en-US" w:eastAsia="zh-CN"/>
        </w:rPr>
        <w:t xml:space="preserve"> for joint channel estimation for PUCCH is significant in 4GHz urban scenario, with about 1~2.5dB performance loss @BLER = 0.01 observed.</w:t>
      </w:r>
    </w:p>
    <w:p>
      <w:pPr>
        <w:keepNext w:val="0"/>
        <w:keepLines w:val="0"/>
        <w:pageBreakBefore w:val="0"/>
        <w:widowControl/>
        <w:kinsoku/>
        <w:wordWrap/>
        <w:overflowPunct w:val="0"/>
        <w:topLinePunct w:val="0"/>
        <w:autoSpaceDE w:val="0"/>
        <w:autoSpaceDN w:val="0"/>
        <w:bidi w:val="0"/>
        <w:adjustRightInd w:val="0"/>
        <w:snapToGrid w:val="0"/>
        <w:spacing w:before="273" w:beforeLines="100"/>
        <w:textAlignment w:val="baseline"/>
        <w:rPr>
          <w:rFonts w:hint="default"/>
          <w:b w:val="0"/>
          <w:bCs w:val="0"/>
          <w:i/>
          <w:iCs/>
          <w:lang w:val="en-US" w:eastAsia="zh-CN"/>
        </w:rPr>
      </w:pPr>
      <w:r>
        <w:rPr>
          <w:rFonts w:hint="eastAsia"/>
          <w:b/>
          <w:bCs/>
          <w:i/>
          <w:iCs/>
          <w:lang w:val="en-US" w:eastAsia="zh-CN"/>
        </w:rPr>
        <w:t xml:space="preserve">Observation 5: </w:t>
      </w:r>
      <w:r>
        <w:rPr>
          <w:rFonts w:hint="eastAsia"/>
          <w:i/>
          <w:iCs/>
          <w:vertAlign w:val="baseline"/>
          <w:lang w:val="en-US" w:eastAsia="zh-CN"/>
        </w:rPr>
        <w:t>Phase error could cause significant performance degradation for PUSCH, and the acceptable phase error between different repetitions should be at least within 30</w:t>
      </w:r>
      <w:r>
        <w:rPr>
          <w:rFonts w:hint="eastAsia"/>
          <w:i/>
          <w:iCs/>
          <w:vertAlign w:val="superscript"/>
          <w:lang w:val="en-US" w:eastAsia="zh-CN"/>
        </w:rPr>
        <w:t xml:space="preserve">o </w:t>
      </w:r>
      <w:r>
        <w:rPr>
          <w:rFonts w:hint="eastAsia"/>
          <w:i/>
          <w:iCs/>
          <w:vertAlign w:val="baseline"/>
          <w:lang w:val="en-US" w:eastAsia="zh-CN"/>
        </w:rPr>
        <w:t>for 700MHz and 4GHz.</w:t>
      </w:r>
    </w:p>
    <w:p>
      <w:pPr>
        <w:keepNext w:val="0"/>
        <w:keepLines w:val="0"/>
        <w:pageBreakBefore w:val="0"/>
        <w:widowControl/>
        <w:kinsoku/>
        <w:wordWrap/>
        <w:overflowPunct w:val="0"/>
        <w:topLinePunct w:val="0"/>
        <w:autoSpaceDE w:val="0"/>
        <w:autoSpaceDN w:val="0"/>
        <w:bidi w:val="0"/>
        <w:adjustRightInd w:val="0"/>
        <w:snapToGrid w:val="0"/>
        <w:spacing w:before="0" w:beforeLines="0"/>
        <w:textAlignment w:val="baseline"/>
        <w:rPr>
          <w:rFonts w:hint="default"/>
          <w:b w:val="0"/>
          <w:bCs w:val="0"/>
          <w:i/>
          <w:iCs/>
          <w:lang w:val="en-US" w:eastAsia="zh-CN"/>
        </w:rPr>
      </w:pPr>
      <w:r>
        <w:rPr>
          <w:rFonts w:hint="eastAsia"/>
          <w:b/>
          <w:bCs/>
          <w:i/>
          <w:iCs/>
          <w:lang w:val="en-US" w:eastAsia="zh-CN"/>
        </w:rPr>
        <w:t xml:space="preserve">Proposal 1: </w:t>
      </w:r>
      <w:r>
        <w:rPr>
          <w:rFonts w:hint="eastAsia"/>
          <w:i/>
          <w:iCs/>
          <w:vertAlign w:val="baseline"/>
          <w:lang w:val="en-US" w:eastAsia="zh-CN"/>
        </w:rPr>
        <w:t>The acceptable phase error between different repetitions for PUSCH should be at least within 30</w:t>
      </w:r>
      <w:r>
        <w:rPr>
          <w:rFonts w:hint="eastAsia"/>
          <w:i/>
          <w:iCs/>
          <w:vertAlign w:val="superscript"/>
          <w:lang w:val="en-US" w:eastAsia="zh-CN"/>
        </w:rPr>
        <w:t xml:space="preserve">o </w:t>
      </w:r>
      <w:r>
        <w:rPr>
          <w:rFonts w:hint="eastAsia"/>
          <w:i/>
          <w:iCs/>
          <w:vertAlign w:val="baseline"/>
          <w:lang w:val="en-US" w:eastAsia="zh-CN"/>
        </w:rPr>
        <w:t>for both 700MHz and 4GHz.</w:t>
      </w:r>
    </w:p>
    <w:p>
      <w:pPr>
        <w:bidi w:val="0"/>
        <w:jc w:val="both"/>
        <w:rPr>
          <w:rFonts w:hint="eastAsia"/>
          <w:b/>
          <w:bCs/>
          <w:i/>
          <w:iCs/>
          <w:lang w:val="en-US" w:eastAsia="zh-CN"/>
        </w:rPr>
      </w:pPr>
      <w:r>
        <w:rPr>
          <w:rFonts w:hint="eastAsia"/>
          <w:b/>
          <w:bCs/>
          <w:i/>
          <w:iCs/>
          <w:lang w:val="en-US" w:eastAsia="zh-CN"/>
        </w:rPr>
        <w:t xml:space="preserve">Observation 6: </w:t>
      </w:r>
      <w:r>
        <w:rPr>
          <w:rFonts w:hint="eastAsia"/>
          <w:i/>
          <w:iCs/>
          <w:lang w:val="en-US" w:eastAsia="zh-CN"/>
        </w:rPr>
        <w:t xml:space="preserve">Amplitude </w:t>
      </w:r>
      <w:r>
        <w:rPr>
          <w:rFonts w:hint="eastAsia"/>
          <w:i/>
          <w:iCs/>
          <w:vertAlign w:val="baseline"/>
          <w:lang w:val="en-US" w:eastAsia="zh-CN"/>
        </w:rPr>
        <w:t xml:space="preserve">error could cause significant performance degradation for PUSCH, and </w:t>
      </w:r>
      <w:r>
        <w:rPr>
          <w:rFonts w:hint="eastAsia"/>
          <w:i/>
          <w:iCs/>
          <w:lang w:val="en-US" w:eastAsia="zh-CN"/>
        </w:rPr>
        <w:t xml:space="preserve">0.5dB amplitude error could cause about 1.5-2dB deterioration at 10% BLER </w:t>
      </w:r>
      <w:r>
        <w:rPr>
          <w:rFonts w:hint="eastAsia"/>
          <w:i/>
          <w:iCs/>
          <w:vertAlign w:val="baseline"/>
          <w:lang w:val="en-US" w:eastAsia="zh-CN"/>
        </w:rPr>
        <w:t>for both 700MHz and 4GHz.</w:t>
      </w:r>
    </w:p>
    <w:p>
      <w:pPr>
        <w:rPr>
          <w:rFonts w:hint="eastAsia" w:eastAsia="宋体"/>
          <w:highlight w:val="none"/>
          <w:lang w:val="en-US" w:eastAsia="zh-CN"/>
        </w:rPr>
      </w:pPr>
      <w:r>
        <w:rPr>
          <w:rFonts w:hint="eastAsia"/>
          <w:b/>
          <w:bCs/>
          <w:i/>
          <w:iCs/>
          <w:lang w:val="en-US" w:eastAsia="zh-CN"/>
        </w:rPr>
        <w:t xml:space="preserve">Proposal 2: </w:t>
      </w:r>
      <w:r>
        <w:rPr>
          <w:rFonts w:hint="eastAsia"/>
          <w:i/>
          <w:iCs/>
          <w:vertAlign w:val="baseline"/>
          <w:lang w:val="en-US" w:eastAsia="zh-CN"/>
        </w:rPr>
        <w:t xml:space="preserve">The acceptable </w:t>
      </w:r>
      <w:r>
        <w:rPr>
          <w:rFonts w:hint="eastAsia"/>
          <w:i/>
          <w:iCs/>
          <w:lang w:val="en-US" w:eastAsia="zh-CN"/>
        </w:rPr>
        <w:t xml:space="preserve">amplitude </w:t>
      </w:r>
      <w:r>
        <w:rPr>
          <w:rFonts w:hint="eastAsia"/>
          <w:i/>
          <w:iCs/>
          <w:vertAlign w:val="baseline"/>
          <w:lang w:val="en-US" w:eastAsia="zh-CN"/>
        </w:rPr>
        <w:t xml:space="preserve">error between different repetitions should be at least </w:t>
      </w:r>
      <w:r>
        <w:rPr>
          <w:rFonts w:hint="eastAsia"/>
          <w:i/>
          <w:iCs/>
          <w:lang w:val="en-US" w:eastAsia="zh-CN"/>
        </w:rPr>
        <w:t>less than 0.5dB</w:t>
      </w:r>
      <w:r>
        <w:rPr>
          <w:rFonts w:hint="eastAsia"/>
          <w:i/>
          <w:iCs/>
          <w:vertAlign w:val="superscript"/>
          <w:lang w:val="en-US" w:eastAsia="zh-CN"/>
        </w:rPr>
        <w:t xml:space="preserve"> </w:t>
      </w:r>
      <w:r>
        <w:rPr>
          <w:rFonts w:hint="eastAsia"/>
          <w:i/>
          <w:iCs/>
          <w:vertAlign w:val="baseline"/>
          <w:lang w:val="en-US" w:eastAsia="zh-CN"/>
        </w:rPr>
        <w:t>for both 700MHz and 4GHz.</w:t>
      </w:r>
    </w:p>
    <w:p>
      <w:pPr>
        <w:pStyle w:val="2"/>
        <w:rPr>
          <w:highlight w:val="none"/>
          <w:lang w:eastAsia="zh-CN"/>
        </w:rPr>
      </w:pPr>
      <w:r>
        <w:rPr>
          <w:rFonts w:hint="eastAsia"/>
          <w:highlight w:val="none"/>
          <w:lang w:val="en-US" w:eastAsia="zh-CN"/>
        </w:rPr>
        <w:t xml:space="preserve"> </w:t>
      </w:r>
      <w:r>
        <w:rPr>
          <w:rFonts w:hint="eastAsia"/>
          <w:highlight w:val="none"/>
          <w:lang w:eastAsia="zh-CN"/>
        </w:rPr>
        <w:t>R</w:t>
      </w:r>
      <w:r>
        <w:rPr>
          <w:highlight w:val="none"/>
          <w:lang w:eastAsia="zh-CN"/>
        </w:rPr>
        <w:t>eference</w:t>
      </w:r>
    </w:p>
    <w:p>
      <w:pPr>
        <w:pStyle w:val="126"/>
        <w:rPr>
          <w:rFonts w:hint="default" w:ascii="Times New Roman" w:hAnsi="Times New Roman" w:cs="Times New Roman"/>
          <w:sz w:val="20"/>
          <w:szCs w:val="15"/>
          <w:highlight w:val="none"/>
          <w:lang w:val="en-US" w:eastAsia="zh-CN"/>
        </w:rPr>
      </w:pPr>
      <w:r>
        <w:rPr>
          <w:rFonts w:hint="default" w:ascii="Times New Roman" w:hAnsi="Times New Roman" w:cs="Times New Roman"/>
          <w:sz w:val="20"/>
          <w:szCs w:val="15"/>
          <w:highlight w:val="none"/>
          <w:lang w:val="en-US" w:eastAsia="zh-CN"/>
        </w:rPr>
        <w:t>3GPP RAN</w:t>
      </w:r>
      <w:r>
        <w:rPr>
          <w:rFonts w:hint="eastAsia" w:ascii="Times New Roman" w:hAnsi="Times New Roman" w:cs="Times New Roman"/>
          <w:sz w:val="20"/>
          <w:szCs w:val="15"/>
          <w:highlight w:val="none"/>
          <w:lang w:val="en-US" w:eastAsia="zh-CN"/>
        </w:rPr>
        <w:t>1</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10</w:t>
      </w:r>
      <w:r>
        <w:rPr>
          <w:rFonts w:hint="eastAsia" w:cs="Times New Roman"/>
          <w:sz w:val="20"/>
          <w:szCs w:val="15"/>
          <w:highlight w:val="none"/>
          <w:lang w:val="en-US" w:eastAsia="zh-CN"/>
        </w:rPr>
        <w:t>5</w:t>
      </w:r>
      <w:r>
        <w:rPr>
          <w:rFonts w:hint="eastAsia" w:ascii="Times New Roman" w:hAnsi="Times New Roman" w:cs="Times New Roman"/>
          <w:sz w:val="20"/>
          <w:szCs w:val="15"/>
          <w:highlight w:val="none"/>
          <w:lang w:val="en-US" w:eastAsia="zh-CN"/>
        </w:rPr>
        <w:t>-</w:t>
      </w:r>
      <w:r>
        <w:rPr>
          <w:rFonts w:hint="default" w:ascii="Times New Roman" w:hAnsi="Times New Roman" w:cs="Times New Roman"/>
          <w:sz w:val="20"/>
          <w:szCs w:val="15"/>
          <w:highlight w:val="none"/>
          <w:lang w:val="en-US" w:eastAsia="zh-CN"/>
        </w:rPr>
        <w:t xml:space="preserve">e, </w:t>
      </w:r>
      <w:r>
        <w:rPr>
          <w:rFonts w:hint="eastAsia" w:cs="Times New Roman"/>
          <w:sz w:val="20"/>
          <w:szCs w:val="15"/>
          <w:highlight w:val="none"/>
          <w:lang w:val="en-US" w:eastAsia="zh-CN"/>
        </w:rPr>
        <w:t>Chairman</w:t>
      </w:r>
      <w:r>
        <w:rPr>
          <w:rFonts w:hint="default" w:cs="Times New Roman"/>
          <w:sz w:val="20"/>
          <w:szCs w:val="15"/>
          <w:highlight w:val="none"/>
          <w:lang w:val="en-US" w:eastAsia="zh-CN"/>
        </w:rPr>
        <w:t>’</w:t>
      </w:r>
      <w:r>
        <w:rPr>
          <w:rFonts w:hint="eastAsia" w:cs="Times New Roman"/>
          <w:sz w:val="20"/>
          <w:szCs w:val="15"/>
          <w:highlight w:val="none"/>
          <w:lang w:val="en-US" w:eastAsia="zh-CN"/>
        </w:rPr>
        <w:t xml:space="preserve">s notes. </w:t>
      </w:r>
    </w:p>
    <w:p>
      <w:pPr>
        <w:pStyle w:val="126"/>
        <w:rPr>
          <w:lang w:eastAsia="zh-CN"/>
        </w:rPr>
      </w:pPr>
      <w:r>
        <w:rPr>
          <w:rFonts w:hint="eastAsia" w:ascii="Times New Roman" w:hAnsi="Times New Roman" w:cs="Times New Roman"/>
          <w:sz w:val="20"/>
          <w:szCs w:val="15"/>
          <w:highlight w:val="none"/>
          <w:lang w:val="en-US" w:eastAsia="zh-CN"/>
        </w:rPr>
        <w:t>3GPP RA</w:t>
      </w:r>
      <w:r>
        <w:rPr>
          <w:rFonts w:hint="default" w:ascii="Times New Roman" w:hAnsi="Times New Roman" w:cs="Times New Roman"/>
          <w:sz w:val="20"/>
          <w:szCs w:val="15"/>
          <w:highlight w:val="none"/>
          <w:lang w:val="en-US" w:eastAsia="zh-CN"/>
        </w:rPr>
        <w:t>N</w:t>
      </w:r>
      <w:r>
        <w:rPr>
          <w:rFonts w:hint="eastAsia" w:ascii="Times New Roman" w:hAnsi="Times New Roman" w:cs="Times New Roman"/>
          <w:sz w:val="20"/>
          <w:szCs w:val="15"/>
          <w:highlight w:val="none"/>
          <w:lang w:val="en-US" w:eastAsia="zh-CN"/>
        </w:rPr>
        <w:t>4</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99</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 xml:space="preserve">e, </w:t>
      </w:r>
      <w:r>
        <w:rPr>
          <w:rFonts w:hint="eastAsia" w:cs="Times New Roman"/>
          <w:sz w:val="20"/>
          <w:szCs w:val="15"/>
          <w:highlight w:val="none"/>
          <w:lang w:val="en-US" w:eastAsia="zh-CN"/>
        </w:rPr>
        <w:t>R4-2107881 WF on phase continuity and power consistency for PUCCH and PUSCH repetition, RAN4.</w:t>
      </w:r>
    </w:p>
    <w:p>
      <w:pPr>
        <w:pStyle w:val="2"/>
        <w:numPr>
          <w:ilvl w:val="0"/>
          <w:numId w:val="0"/>
        </w:numPr>
        <w:rPr>
          <w:rFonts w:hint="default"/>
          <w:highlight w:val="none"/>
          <w:lang w:val="en-US" w:eastAsia="zh-CN"/>
        </w:rPr>
      </w:pPr>
      <w:r>
        <w:rPr>
          <w:szCs w:val="22"/>
          <w:highlight w:val="none"/>
          <w:lang w:val="en-US" w:eastAsia="zh-CN"/>
        </w:rPr>
        <w:t>Appendix</w:t>
      </w:r>
      <w:bookmarkStart w:id="3" w:name="OLE_LINK6"/>
      <w:r>
        <w:rPr>
          <w:rFonts w:hint="eastAsia"/>
          <w:szCs w:val="22"/>
          <w:highlight w:val="none"/>
          <w:lang w:val="en-US" w:eastAsia="zh-CN"/>
        </w:rPr>
        <w:t>-Simulation assumption</w:t>
      </w:r>
    </w:p>
    <w:bookmarkEnd w:id="3"/>
    <w:p>
      <w:pPr>
        <w:pStyle w:val="126"/>
        <w:numPr>
          <w:ilvl w:val="0"/>
          <w:numId w:val="0"/>
        </w:numPr>
        <w:jc w:val="center"/>
        <w:rPr>
          <w:rFonts w:hint="default"/>
          <w:szCs w:val="20"/>
          <w:lang w:val="en-US" w:eastAsia="zh-CN"/>
        </w:rPr>
      </w:pPr>
      <w:r>
        <w:rPr>
          <w:szCs w:val="20"/>
          <w:lang w:eastAsia="zh-CN"/>
        </w:rPr>
        <w:t>Table A-</w:t>
      </w:r>
      <w:r>
        <w:rPr>
          <w:rFonts w:hint="eastAsia"/>
          <w:szCs w:val="20"/>
          <w:lang w:val="en-US" w:eastAsia="zh-CN"/>
        </w:rPr>
        <w:t>1</w:t>
      </w:r>
      <w:r>
        <w:rPr>
          <w:szCs w:val="20"/>
          <w:lang w:eastAsia="zh-CN"/>
        </w:rPr>
        <w:t xml:space="preserve"> Simulation assumption for</w:t>
      </w:r>
      <w:r>
        <w:rPr>
          <w:rFonts w:hint="eastAsia"/>
          <w:szCs w:val="20"/>
          <w:lang w:val="en-US" w:eastAsia="zh-CN"/>
        </w:rPr>
        <w:t xml:space="preserve"> performance i</w:t>
      </w:r>
      <w:r>
        <w:rPr>
          <w:rFonts w:hint="eastAsia"/>
          <w:lang w:val="en-US" w:eastAsia="zh-CN"/>
        </w:rPr>
        <w:t>mpacts of r</w:t>
      </w:r>
      <w:r>
        <w:rPr>
          <w:rFonts w:hint="default"/>
        </w:rPr>
        <w:t>esidual frequency error</w:t>
      </w:r>
      <w:r>
        <w:rPr>
          <w:rFonts w:hint="eastAsia"/>
          <w:lang w:val="en-US" w:eastAsia="zh-CN"/>
        </w:rPr>
        <w:t xml:space="preserve"> for PUSCH</w:t>
      </w:r>
    </w:p>
    <w:tbl>
      <w:tblPr>
        <w:tblStyle w:val="50"/>
        <w:tblW w:w="9569" w:type="dxa"/>
        <w:tblCellSpacing w:w="0" w:type="dxa"/>
        <w:tblInd w:w="15" w:type="dxa"/>
        <w:shd w:val="clear" w:color="auto" w:fill="auto"/>
        <w:tblLayout w:type="fixed"/>
        <w:tblCellMar>
          <w:top w:w="0" w:type="dxa"/>
          <w:left w:w="0" w:type="dxa"/>
          <w:bottom w:w="0" w:type="dxa"/>
          <w:right w:w="0" w:type="dxa"/>
        </w:tblCellMar>
      </w:tblPr>
      <w:tblGrid>
        <w:gridCol w:w="2547"/>
        <w:gridCol w:w="7022"/>
      </w:tblGrid>
      <w:tr>
        <w:tblPrEx>
          <w:tblCellMar>
            <w:top w:w="0" w:type="dxa"/>
            <w:left w:w="0" w:type="dxa"/>
            <w:bottom w:w="0" w:type="dxa"/>
            <w:right w:w="0" w:type="dxa"/>
          </w:tblCellMar>
        </w:tblPrEx>
        <w:trPr>
          <w:trHeight w:val="30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pPr>
            <w:r>
              <w:rPr>
                <w:rFonts w:hint="default" w:ascii="Times New Roman" w:hAnsi="Times New Roman" w:cs="Times New Roman"/>
                <w:b/>
                <w:color w:val="000000"/>
                <w:sz w:val="20"/>
                <w:szCs w:val="20"/>
              </w:rPr>
              <w:t>Parameter</w:t>
            </w:r>
          </w:p>
        </w:tc>
        <w:tc>
          <w:tcPr>
            <w:tcW w:w="7022"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cs="Times New Roman"/>
                <w:b/>
                <w:color w:val="000000"/>
                <w:sz w:val="20"/>
                <w:szCs w:val="20"/>
                <w:lang w:val="en-US" w:eastAsia="zh-CN"/>
              </w:rPr>
              <w:t>Value</w:t>
            </w:r>
          </w:p>
        </w:tc>
      </w:tr>
      <w:tr>
        <w:tblPrEx>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Carrier frequency</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lang w:val="en-US"/>
              </w:rPr>
            </w:pPr>
            <w:r>
              <w:rPr>
                <w:rFonts w:hint="eastAsia" w:cs="Times New Roman"/>
                <w:color w:val="000000"/>
                <w:sz w:val="20"/>
                <w:szCs w:val="20"/>
                <w:lang w:val="en-US" w:eastAsia="zh-CN"/>
              </w:rPr>
              <w:t>700M</w:t>
            </w:r>
            <w:r>
              <w:rPr>
                <w:rFonts w:hint="eastAsia" w:ascii="Times New Roman" w:hAnsi="Times New Roman" w:cs="Times New Roman"/>
                <w:color w:val="000000"/>
                <w:sz w:val="20"/>
                <w:szCs w:val="20"/>
                <w:lang w:val="en-US" w:eastAsia="zh-CN"/>
              </w:rPr>
              <w:t>Hz</w:t>
            </w:r>
            <w:r>
              <w:rPr>
                <w:rFonts w:hint="eastAsia" w:cs="Times New Roman"/>
                <w:color w:val="000000"/>
                <w:sz w:val="20"/>
                <w:szCs w:val="20"/>
                <w:lang w:val="en-US" w:eastAsia="zh-CN"/>
              </w:rPr>
              <w:t xml:space="preserve"> / 4GHz</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Channel model</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default" w:ascii="Times New Roman" w:hAnsi="Times New Roman" w:cs="Times New Roman"/>
                <w:color w:val="000000"/>
                <w:sz w:val="20"/>
                <w:szCs w:val="20"/>
              </w:rPr>
              <w:t>TDL-C (delay spread: 300ns) as in 38.901 for </w:t>
            </w:r>
            <w:r>
              <w:rPr>
                <w:rFonts w:hint="eastAsia" w:ascii="Times New Roman" w:hAnsi="Times New Roman" w:cs="Times New Roman"/>
                <w:color w:val="000000"/>
                <w:sz w:val="20"/>
                <w:szCs w:val="20"/>
                <w:lang w:val="en-US" w:eastAsia="zh-CN"/>
              </w:rPr>
              <w:t>R</w:t>
            </w:r>
            <w:r>
              <w:rPr>
                <w:rFonts w:hint="eastAsia" w:ascii="Times New Roman" w:hAnsi="Times New Roman" w:eastAsia="宋体" w:cs="Times New Roman"/>
                <w:color w:val="000000"/>
                <w:sz w:val="20"/>
                <w:szCs w:val="20"/>
                <w:lang w:val="en-US" w:eastAsia="zh-CN"/>
              </w:rPr>
              <w:t>ural scenario</w:t>
            </w:r>
            <w:r>
              <w:rPr>
                <w:rFonts w:hint="eastAsia" w:cs="Times New Roman"/>
                <w:color w:val="000000"/>
                <w:sz w:val="20"/>
                <w:szCs w:val="20"/>
                <w:lang w:val="en-US" w:eastAsia="zh-CN"/>
              </w:rPr>
              <w:t xml:space="preserve"> and Urban scenario</w:t>
            </w:r>
          </w:p>
        </w:tc>
      </w:tr>
      <w:tr>
        <w:tblPrEx>
          <w:shd w:val="clear" w:color="auto" w:fill="auto"/>
          <w:tblCellMar>
            <w:top w:w="0" w:type="dxa"/>
            <w:left w:w="0" w:type="dxa"/>
            <w:bottom w:w="0" w:type="dxa"/>
            <w:right w:w="0" w:type="dxa"/>
          </w:tblCellMar>
        </w:tblPrEx>
        <w:trPr>
          <w:trHeight w:val="292"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UE speed</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ascii="Times New Roman" w:hAnsi="Times New Roman" w:cs="Times New Roman"/>
                <w:color w:val="000000"/>
                <w:sz w:val="20"/>
                <w:szCs w:val="20"/>
                <w:lang w:val="en-US" w:eastAsia="zh-CN"/>
              </w:rPr>
              <w:t>3</w:t>
            </w:r>
            <w:r>
              <w:rPr>
                <w:rFonts w:hint="default" w:ascii="Times New Roman" w:hAnsi="Times New Roman" w:cs="Times New Roman"/>
                <w:color w:val="000000"/>
                <w:sz w:val="20"/>
                <w:szCs w:val="20"/>
              </w:rPr>
              <w:t> km/h</w:t>
            </w:r>
            <w:r>
              <w:rPr>
                <w:rFonts w:hint="eastAsia" w:ascii="Times New Roman" w:hAnsi="Times New Roman" w:cs="Times New Roman"/>
                <w:color w:val="000000"/>
                <w:sz w:val="20"/>
                <w:szCs w:val="20"/>
                <w:lang w:val="en-US" w:eastAsia="zh-CN"/>
              </w:rPr>
              <w:t xml:space="preserve"> </w:t>
            </w:r>
          </w:p>
        </w:tc>
      </w:tr>
      <w:tr>
        <w:tblPrEx>
          <w:tblCellMar>
            <w:top w:w="0" w:type="dxa"/>
            <w:left w:w="0" w:type="dxa"/>
            <w:bottom w:w="0" w:type="dxa"/>
            <w:right w:w="0" w:type="dxa"/>
          </w:tblCellMar>
        </w:tblPrEx>
        <w:trPr>
          <w:trHeight w:val="344"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BS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cs="Times New Roman"/>
                <w:color w:val="000000"/>
                <w:sz w:val="20"/>
                <w:szCs w:val="20"/>
                <w:lang w:val="en-US" w:eastAsia="zh-CN"/>
              </w:rPr>
              <w:t>4</w:t>
            </w:r>
            <w:r>
              <w:rPr>
                <w:rFonts w:hint="default" w:ascii="Times New Roman" w:hAnsi="Times New Roman" w:cs="Times New Roman"/>
                <w:color w:val="000000"/>
                <w:sz w:val="20"/>
                <w:szCs w:val="20"/>
              </w:rPr>
              <w:t>Rx </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UE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eastAsia" w:eastAsia="宋体"/>
                <w:lang w:val="en-US" w:eastAsia="zh-CN"/>
              </w:rPr>
            </w:pPr>
            <w:r>
              <w:rPr>
                <w:rFonts w:hint="eastAsia" w:ascii="Times New Roman" w:hAnsi="Times New Roman" w:cs="Times New Roman"/>
                <w:color w:val="000000"/>
                <w:sz w:val="20"/>
                <w:szCs w:val="20"/>
                <w:lang w:val="en-US" w:eastAsia="zh-CN"/>
              </w:rPr>
              <w:t>1</w:t>
            </w:r>
            <w:r>
              <w:rPr>
                <w:rFonts w:hint="default" w:ascii="Times New Roman" w:hAnsi="Times New Roman" w:cs="Times New Roman"/>
                <w:color w:val="000000"/>
                <w:sz w:val="20"/>
                <w:szCs w:val="20"/>
              </w:rPr>
              <w:t> Tx</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Sub-carrier spacing</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Fc = 4G</w:t>
            </w:r>
            <w:r>
              <w:rPr>
                <w:rFonts w:hint="eastAsia" w:cs="Times New Roman"/>
                <w:sz w:val="20"/>
                <w:szCs w:val="20"/>
                <w:lang w:val="en-US" w:eastAsia="zh-CN"/>
              </w:rPr>
              <w:t>Hz</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 xml:space="preserve">30kHz for TDD, </w:t>
            </w:r>
          </w:p>
          <w:p>
            <w:pPr>
              <w:pStyle w:val="46"/>
              <w:keepNext w:val="0"/>
              <w:keepLines w:val="0"/>
              <w:widowControl/>
              <w:suppressLineNumbers w:val="0"/>
            </w:pPr>
            <w:r>
              <w:rPr>
                <w:rFonts w:hint="default" w:ascii="Times New Roman" w:hAnsi="Times New Roman" w:cs="Times New Roman"/>
                <w:sz w:val="20"/>
                <w:szCs w:val="20"/>
                <w:lang w:val="en-US" w:eastAsia="zh-CN"/>
              </w:rPr>
              <w:t xml:space="preserve">Fc = 700MHz, </w:t>
            </w:r>
            <w:r>
              <w:rPr>
                <w:rFonts w:hint="default" w:ascii="Times New Roman" w:hAnsi="Times New Roman" w:cs="Times New Roman"/>
                <w:sz w:val="20"/>
                <w:szCs w:val="20"/>
                <w:lang w:eastAsia="zh-CN"/>
              </w:rPr>
              <w:t>15kHz for FDD.</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eastAsia" w:ascii="Times New Roman" w:hAnsi="Times New Roman" w:cs="Times New Roman"/>
                <w:color w:val="000000"/>
                <w:sz w:val="20"/>
                <w:szCs w:val="20"/>
                <w:lang w:val="en-US" w:eastAsia="zh-CN"/>
              </w:rPr>
              <w:t>Occupied RB</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lang w:val="en-US"/>
              </w:rPr>
            </w:pPr>
            <w:r>
              <w:rPr>
                <w:rFonts w:hint="eastAsia" w:cs="Times New Roman"/>
                <w:color w:val="000000"/>
                <w:sz w:val="20"/>
                <w:szCs w:val="20"/>
                <w:lang w:val="en-US" w:eastAsia="zh-CN"/>
              </w:rPr>
              <w:t>4</w:t>
            </w:r>
          </w:p>
        </w:tc>
      </w:tr>
      <w:tr>
        <w:tblPrEx>
          <w:shd w:val="clear" w:color="auto" w:fill="auto"/>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eastAsia" w:ascii="Times New Roman" w:hAnsi="Times New Roman" w:cs="Times New Roman"/>
                <w:color w:val="000000"/>
                <w:sz w:val="20"/>
                <w:szCs w:val="20"/>
                <w:lang w:val="en-US" w:eastAsia="zh-CN"/>
              </w:rPr>
              <w:t>MCS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lang w:val="en-US"/>
              </w:rPr>
            </w:pPr>
            <w:r>
              <w:rPr>
                <w:rFonts w:hint="eastAsia" w:cs="Times New Roman"/>
                <w:color w:val="000000"/>
                <w:sz w:val="20"/>
                <w:szCs w:val="20"/>
                <w:lang w:val="en-US" w:eastAsia="zh-CN"/>
              </w:rPr>
              <w:t>0/1/4</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Waveform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DFT-s-OFDM</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Number of OS per repetition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14 (PUSCH mapping type A)</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DMRS overhead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ascii="Times New Roman" w:hAnsi="Times New Roman" w:cs="Times New Roman"/>
                <w:color w:val="000000"/>
                <w:sz w:val="20"/>
                <w:szCs w:val="20"/>
                <w:lang w:val="en-US" w:eastAsia="zh-CN"/>
              </w:rPr>
              <w:t>2</w:t>
            </w:r>
            <w:r>
              <w:rPr>
                <w:rFonts w:hint="default" w:ascii="Times New Roman" w:hAnsi="Times New Roman" w:cs="Times New Roman"/>
                <w:color w:val="000000"/>
                <w:sz w:val="20"/>
                <w:szCs w:val="20"/>
              </w:rPr>
              <w:t> DMRS symbol</w:t>
            </w:r>
            <w:r>
              <w:rPr>
                <w:rFonts w:hint="eastAsia" w:ascii="Times New Roman" w:hAnsi="Times New Roman" w:cs="Times New Roman"/>
                <w:color w:val="000000"/>
                <w:sz w:val="20"/>
                <w:szCs w:val="20"/>
                <w:lang w:val="en-US" w:eastAsia="zh-CN"/>
              </w:rPr>
              <w:t>s</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Number of repetitions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ascii="Times New Roman" w:hAnsi="Times New Roman" w:cs="Times New Roman"/>
                <w:color w:val="000000"/>
                <w:sz w:val="20"/>
                <w:szCs w:val="20"/>
                <w:lang w:val="en-US" w:eastAsia="zh-CN"/>
              </w:rPr>
              <w:t xml:space="preserve">8 </w:t>
            </w:r>
          </w:p>
        </w:tc>
      </w:tr>
      <w:tr>
        <w:tblPrEx>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Frequency hopping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Enabled </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Channel estimation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Practical</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Receiver type</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MMSE</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eastAsia="宋体" w:cs="Times New Roman"/>
                <w:color w:val="000000"/>
                <w:sz w:val="20"/>
                <w:szCs w:val="20"/>
                <w:lang w:val="en-US" w:eastAsia="zh-CN"/>
              </w:rPr>
            </w:pPr>
            <w:r>
              <w:rPr>
                <w:rFonts w:hint="eastAsia" w:cs="Times New Roman"/>
                <w:color w:val="000000"/>
                <w:sz w:val="20"/>
                <w:szCs w:val="20"/>
                <w:lang w:val="en-US" w:eastAsia="zh-CN"/>
              </w:rPr>
              <w:t>Frequency offset model</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eastAsia="宋体" w:cs="Times New Roman"/>
                <w:color w:val="000000"/>
                <w:sz w:val="20"/>
                <w:szCs w:val="20"/>
                <w:lang w:val="en-US" w:eastAsia="zh-CN"/>
              </w:rPr>
            </w:pPr>
            <w:r>
              <w:rPr>
                <w:rFonts w:hint="eastAsia" w:cs="Times New Roman"/>
                <w:color w:val="000000"/>
                <w:sz w:val="20"/>
                <w:szCs w:val="20"/>
                <w:lang w:val="en-US" w:eastAsia="zh-CN"/>
              </w:rPr>
              <w:t>Uniform distribution with [-0.1, +0.1] ppm</w:t>
            </w:r>
          </w:p>
        </w:tc>
      </w:tr>
    </w:tbl>
    <w:p>
      <w:pPr>
        <w:rPr>
          <w:highlight w:val="none"/>
          <w:lang w:eastAsia="zh-CN"/>
        </w:rPr>
      </w:pPr>
    </w:p>
    <w:p>
      <w:pPr>
        <w:pStyle w:val="68"/>
        <w:rPr>
          <w:rFonts w:hint="default" w:ascii="Times New Roman" w:hAnsi="Times New Roman" w:cs="Times New Roman"/>
          <w:sz w:val="20"/>
          <w:szCs w:val="20"/>
        </w:rPr>
      </w:pPr>
    </w:p>
    <w:p>
      <w:pPr>
        <w:pStyle w:val="126"/>
        <w:numPr>
          <w:ilvl w:val="0"/>
          <w:numId w:val="0"/>
        </w:numPr>
        <w:jc w:val="center"/>
        <w:rPr>
          <w:rFonts w:hint="default"/>
          <w:szCs w:val="20"/>
          <w:lang w:val="en-US" w:eastAsia="zh-CN"/>
        </w:rPr>
      </w:pPr>
      <w:r>
        <w:rPr>
          <w:rFonts w:hint="default" w:ascii="Times New Roman" w:hAnsi="Times New Roman" w:cs="Times New Roman"/>
          <w:b w:val="0"/>
          <w:sz w:val="20"/>
          <w:szCs w:val="20"/>
          <w:lang w:eastAsia="zh-CN"/>
        </w:rPr>
        <w:t xml:space="preserve">Table </w:t>
      </w:r>
      <w:r>
        <w:rPr>
          <w:rFonts w:hint="default" w:ascii="Times New Roman" w:hAnsi="Times New Roman" w:cs="Times New Roman"/>
          <w:b w:val="0"/>
          <w:sz w:val="20"/>
          <w:szCs w:val="20"/>
          <w:lang w:val="en-US" w:eastAsia="zh-CN"/>
        </w:rPr>
        <w:t>A-2</w:t>
      </w:r>
      <w:r>
        <w:rPr>
          <w:rFonts w:hint="default" w:ascii="Times New Roman" w:hAnsi="Times New Roman" w:cs="Times New Roman"/>
          <w:b w:val="0"/>
          <w:sz w:val="20"/>
          <w:szCs w:val="20"/>
          <w:lang w:eastAsia="zh-CN"/>
        </w:rPr>
        <w:t xml:space="preserve"> </w:t>
      </w:r>
      <w:r>
        <w:rPr>
          <w:szCs w:val="20"/>
          <w:lang w:eastAsia="zh-CN"/>
        </w:rPr>
        <w:t>Simulation assumption for</w:t>
      </w:r>
      <w:r>
        <w:rPr>
          <w:rFonts w:hint="eastAsia"/>
          <w:szCs w:val="20"/>
          <w:lang w:val="en-US" w:eastAsia="zh-CN"/>
        </w:rPr>
        <w:t xml:space="preserve"> performance i</w:t>
      </w:r>
      <w:r>
        <w:rPr>
          <w:rFonts w:hint="eastAsia"/>
          <w:lang w:val="en-US" w:eastAsia="zh-CN"/>
        </w:rPr>
        <w:t>mpacts of r</w:t>
      </w:r>
      <w:r>
        <w:rPr>
          <w:rFonts w:hint="default"/>
        </w:rPr>
        <w:t>esidual frequency error</w:t>
      </w:r>
      <w:r>
        <w:rPr>
          <w:rFonts w:hint="eastAsia"/>
          <w:lang w:val="en-US" w:eastAsia="zh-CN"/>
        </w:rPr>
        <w:t xml:space="preserve"> for PUCCH</w:t>
      </w:r>
    </w:p>
    <w:tbl>
      <w:tblPr>
        <w:tblStyle w:val="50"/>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114"/>
        <w:gridCol w:w="5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9" w:hRule="atLeast"/>
          <w:jc w:val="center"/>
        </w:trPr>
        <w:tc>
          <w:tcPr>
            <w:tcW w:w="3114" w:type="dxa"/>
            <w:shd w:val="clear" w:color="auto" w:fill="D9E2F3"/>
            <w:tcMar>
              <w:top w:w="0" w:type="dxa"/>
              <w:left w:w="108" w:type="dxa"/>
              <w:bottom w:w="0" w:type="dxa"/>
              <w:right w:w="108" w:type="dxa"/>
            </w:tcMar>
            <w:vAlign w:val="center"/>
          </w:tcPr>
          <w:p>
            <w:pPr>
              <w:pStyle w:val="68"/>
              <w:rPr>
                <w:rFonts w:hint="default" w:ascii="Times New Roman" w:hAnsi="Times New Roman" w:cs="Times New Roman"/>
                <w:sz w:val="20"/>
                <w:szCs w:val="20"/>
              </w:rPr>
            </w:pPr>
            <w:r>
              <w:rPr>
                <w:rFonts w:hint="default" w:ascii="Times New Roman" w:hAnsi="Times New Roman" w:cs="Times New Roman"/>
                <w:sz w:val="20"/>
                <w:szCs w:val="20"/>
              </w:rPr>
              <w:t>Parameter</w:t>
            </w:r>
          </w:p>
        </w:tc>
        <w:tc>
          <w:tcPr>
            <w:tcW w:w="5953" w:type="dxa"/>
            <w:shd w:val="clear" w:color="auto" w:fill="D9E2F3"/>
            <w:tcMar>
              <w:top w:w="0" w:type="dxa"/>
              <w:left w:w="108" w:type="dxa"/>
              <w:bottom w:w="0" w:type="dxa"/>
              <w:right w:w="108" w:type="dxa"/>
            </w:tcMar>
            <w:vAlign w:val="center"/>
          </w:tcPr>
          <w:p>
            <w:pPr>
              <w:pStyle w:val="68"/>
              <w:rPr>
                <w:rFonts w:hint="default" w:ascii="Times New Roman" w:hAnsi="Times New Roman" w:cs="Times New Roman"/>
                <w:sz w:val="20"/>
                <w:szCs w:val="20"/>
              </w:rPr>
            </w:pPr>
            <w:r>
              <w:rPr>
                <w:rFonts w:hint="default" w:ascii="Times New Roman" w:hAnsi="Times New Roman" w:cs="Times New Roman"/>
                <w:sz w:val="20"/>
                <w:szCs w:val="20"/>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rPr>
                <w:rFonts w:hint="default" w:ascii="Times New Roman" w:hAnsi="Times New Roman" w:cs="Times New Roman"/>
                <w:sz w:val="20"/>
                <w:szCs w:val="20"/>
                <w:lang w:eastAsia="ja-JP"/>
              </w:rPr>
            </w:pPr>
            <w:r>
              <w:rPr>
                <w:rFonts w:hint="default" w:ascii="Times New Roman" w:hAnsi="Times New Roman" w:cs="Times New Roman"/>
                <w:sz w:val="20"/>
                <w:szCs w:val="20"/>
              </w:rPr>
              <w:t xml:space="preserve">PUCCH format </w:t>
            </w:r>
          </w:p>
        </w:tc>
        <w:tc>
          <w:tcPr>
            <w:tcW w:w="5953" w:type="dxa"/>
            <w:tcMar>
              <w:top w:w="0" w:type="dxa"/>
              <w:left w:w="108" w:type="dxa"/>
              <w:bottom w:w="0" w:type="dxa"/>
              <w:right w:w="108" w:type="dxa"/>
            </w:tcMar>
            <w:vAlign w:val="center"/>
          </w:tcPr>
          <w:p>
            <w:pPr>
              <w:keepNext/>
              <w:spacing w:before="20" w:after="20" w:line="276"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 xml:space="preserve">Format 3, </w:t>
            </w:r>
            <w:r>
              <w:rPr>
                <w:rFonts w:hint="default" w:ascii="Times New Roman" w:hAnsi="Times New Roman" w:cs="Times New Roman"/>
                <w:sz w:val="20"/>
                <w:szCs w:val="20"/>
                <w:lang w:val="en-US" w:eastAsia="zh-CN"/>
              </w:rPr>
              <w:t xml:space="preserve"> 11bits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PUCCH duration</w:t>
            </w:r>
          </w:p>
        </w:tc>
        <w:tc>
          <w:tcPr>
            <w:tcW w:w="5953" w:type="dxa"/>
            <w:tcMar>
              <w:top w:w="0" w:type="dxa"/>
              <w:left w:w="108" w:type="dxa"/>
              <w:bottom w:w="0" w:type="dxa"/>
              <w:right w:w="108" w:type="dxa"/>
            </w:tcMar>
            <w:vAlign w:val="center"/>
          </w:tcPr>
          <w:p>
            <w:pPr>
              <w:keepNext/>
              <w:spacing w:before="20" w:after="20" w:line="276"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14 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rPr>
              <w:t>Number of PRBs</w:t>
            </w:r>
          </w:p>
        </w:tc>
        <w:tc>
          <w:tcPr>
            <w:tcW w:w="5953" w:type="dxa"/>
            <w:tcMar>
              <w:top w:w="0" w:type="dxa"/>
              <w:left w:w="108" w:type="dxa"/>
              <w:bottom w:w="0" w:type="dxa"/>
              <w:right w:w="108" w:type="dxa"/>
            </w:tcMar>
            <w:vAlign w:val="center"/>
          </w:tcPr>
          <w:p>
            <w:pPr>
              <w:keepNext/>
              <w:spacing w:before="20" w:after="20" w:line="276" w:lineRule="auto"/>
              <w:rPr>
                <w:rFonts w:hint="default" w:ascii="Times New Roman" w:hAnsi="Times New Roman" w:eastAsia="宋体" w:cs="Times New Roman"/>
                <w:kern w:val="2"/>
                <w:sz w:val="20"/>
                <w:szCs w:val="20"/>
                <w:highlight w:val="none"/>
                <w:lang w:val="en-US" w:eastAsia="zh-CN" w:bidi="ar-SA"/>
              </w:rPr>
            </w:pPr>
            <w:r>
              <w:rPr>
                <w:rFonts w:hint="default" w:ascii="Times New Roman" w:hAnsi="Times New Roman" w:cs="Times New Roman"/>
                <w:sz w:val="20"/>
                <w:szCs w:val="20"/>
                <w:highlight w:val="none"/>
                <w:lang w:eastAsia="zh-CN"/>
              </w:rPr>
              <w:t>1 PRB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Antenna configuration</w:t>
            </w:r>
          </w:p>
        </w:tc>
        <w:tc>
          <w:tcPr>
            <w:tcW w:w="5953" w:type="dxa"/>
            <w:tcMar>
              <w:top w:w="0" w:type="dxa"/>
              <w:left w:w="108" w:type="dxa"/>
              <w:bottom w:w="0" w:type="dxa"/>
              <w:right w:w="108" w:type="dxa"/>
            </w:tcMar>
            <w:vAlign w:val="center"/>
          </w:tcPr>
          <w:p>
            <w:pPr>
              <w:keepNext/>
              <w:spacing w:before="20" w:after="20" w:line="276"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1Tx , 2Rx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 xml:space="preserve">DMRS configuration </w:t>
            </w:r>
          </w:p>
        </w:tc>
        <w:tc>
          <w:tcPr>
            <w:tcW w:w="5953" w:type="dxa"/>
            <w:tcMar>
              <w:top w:w="0" w:type="dxa"/>
              <w:left w:w="108" w:type="dxa"/>
              <w:bottom w:w="0" w:type="dxa"/>
              <w:right w:w="108" w:type="dxa"/>
            </w:tcMar>
            <w:vAlign w:val="center"/>
          </w:tcPr>
          <w:p>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Additional DMRS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bCs/>
                <w:sz w:val="20"/>
                <w:szCs w:val="20"/>
              </w:rPr>
              <w:t>SCS</w:t>
            </w:r>
          </w:p>
        </w:tc>
        <w:tc>
          <w:tcPr>
            <w:tcW w:w="5953" w:type="dxa"/>
            <w:tcMar>
              <w:top w:w="0" w:type="dxa"/>
              <w:left w:w="108" w:type="dxa"/>
              <w:bottom w:w="0" w:type="dxa"/>
              <w:right w:w="108" w:type="dxa"/>
            </w:tcMar>
            <w:vAlign w:val="center"/>
          </w:tcPr>
          <w:p>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Fc = 4G</w:t>
            </w:r>
            <w:r>
              <w:rPr>
                <w:rFonts w:hint="eastAsia" w:cs="Times New Roman"/>
                <w:sz w:val="20"/>
                <w:szCs w:val="20"/>
                <w:lang w:val="en-US" w:eastAsia="zh-CN"/>
              </w:rPr>
              <w:t>Hz</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 xml:space="preserve">30kHz for TDD, </w:t>
            </w:r>
          </w:p>
          <w:p>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Fc = 700MHz, </w:t>
            </w:r>
            <w:r>
              <w:rPr>
                <w:rFonts w:hint="default" w:ascii="Times New Roman" w:hAnsi="Times New Roman" w:cs="Times New Roman"/>
                <w:sz w:val="20"/>
                <w:szCs w:val="20"/>
                <w:lang w:eastAsia="zh-CN"/>
              </w:rPr>
              <w:t>15kHz for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Repetitions</w:t>
            </w:r>
          </w:p>
        </w:tc>
        <w:tc>
          <w:tcPr>
            <w:tcW w:w="5953" w:type="dxa"/>
            <w:tcMar>
              <w:top w:w="0" w:type="dxa"/>
              <w:left w:w="108" w:type="dxa"/>
              <w:bottom w:w="0" w:type="dxa"/>
              <w:right w:w="108" w:type="dxa"/>
            </w:tcMar>
            <w:vAlign w:val="center"/>
          </w:tcPr>
          <w:p>
            <w:pPr>
              <w:keepNext/>
              <w:spacing w:before="20" w:after="20" w:line="276"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Bundle size(BS) for joint CE</w:t>
            </w:r>
          </w:p>
        </w:tc>
        <w:tc>
          <w:tcPr>
            <w:tcW w:w="5953" w:type="dxa"/>
            <w:tcMar>
              <w:top w:w="0" w:type="dxa"/>
              <w:left w:w="108" w:type="dxa"/>
              <w:bottom w:w="0" w:type="dxa"/>
              <w:right w:w="108" w:type="dxa"/>
            </w:tcMar>
            <w:vAlign w:val="center"/>
          </w:tcPr>
          <w:p>
            <w:pPr>
              <w:keepNext/>
              <w:spacing w:before="20" w:after="20" w:line="276"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1,2,4,8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FH</w:t>
            </w:r>
          </w:p>
        </w:tc>
        <w:tc>
          <w:tcPr>
            <w:tcW w:w="5953" w:type="dxa"/>
            <w:tcMar>
              <w:top w:w="0" w:type="dxa"/>
              <w:left w:w="108" w:type="dxa"/>
              <w:bottom w:w="0" w:type="dxa"/>
              <w:right w:w="108" w:type="dxa"/>
            </w:tcMar>
            <w:vAlign w:val="center"/>
          </w:tcPr>
          <w:p>
            <w:pPr>
              <w:keepNext/>
              <w:spacing w:before="20" w:after="20" w:line="276"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Enabled/ disabled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Channel model</w:t>
            </w:r>
          </w:p>
        </w:tc>
        <w:tc>
          <w:tcPr>
            <w:tcW w:w="5953" w:type="dxa"/>
            <w:tcMar>
              <w:top w:w="0" w:type="dxa"/>
              <w:left w:w="108" w:type="dxa"/>
              <w:bottom w:w="0" w:type="dxa"/>
              <w:right w:w="108" w:type="dxa"/>
            </w:tcMar>
            <w:vAlign w:val="center"/>
          </w:tcPr>
          <w:p>
            <w:pPr>
              <w:keepNext/>
              <w:spacing w:before="20" w:after="20" w:line="276" w:lineRule="auto"/>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TDL-C, 300ns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rPr>
                <w:rFonts w:hint="default" w:ascii="Times New Roman" w:hAnsi="Times New Roman" w:cs="Times New Roman"/>
                <w:sz w:val="20"/>
                <w:szCs w:val="20"/>
                <w:u w:val="single"/>
                <w:lang w:val="en-US" w:eastAsia="zh-CN"/>
              </w:rPr>
            </w:pPr>
            <w:r>
              <w:rPr>
                <w:rFonts w:hint="default" w:ascii="Times New Roman" w:hAnsi="Times New Roman" w:cs="Times New Roman"/>
                <w:sz w:val="20"/>
                <w:szCs w:val="20"/>
                <w:u w:val="none"/>
                <w:lang w:val="en-US" w:eastAsia="zh-CN"/>
              </w:rPr>
              <w:t>UE speed</w:t>
            </w:r>
          </w:p>
        </w:tc>
        <w:tc>
          <w:tcPr>
            <w:tcW w:w="5953" w:type="dxa"/>
            <w:tcMar>
              <w:top w:w="0" w:type="dxa"/>
              <w:left w:w="108" w:type="dxa"/>
              <w:bottom w:w="0" w:type="dxa"/>
              <w:right w:w="108" w:type="dxa"/>
            </w:tcMar>
            <w:vAlign w:val="center"/>
          </w:tcPr>
          <w:p>
            <w:pPr>
              <w:keepNext/>
              <w:spacing w:before="20" w:after="20" w:line="276" w:lineRule="auto"/>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3km/h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rPr>
                <w:rFonts w:hint="default" w:ascii="Times New Roman" w:hAnsi="Times New Roman" w:cs="Times New Roman"/>
                <w:sz w:val="20"/>
                <w:szCs w:val="20"/>
                <w:u w:val="none"/>
                <w:lang w:val="en-US" w:eastAsia="zh-CN"/>
              </w:rPr>
            </w:pPr>
            <w:r>
              <w:rPr>
                <w:rFonts w:hint="default" w:ascii="Times New Roman" w:hAnsi="Times New Roman" w:cs="Times New Roman"/>
                <w:sz w:val="20"/>
                <w:szCs w:val="20"/>
                <w:u w:val="none"/>
                <w:lang w:val="en-US" w:eastAsia="zh-CN"/>
              </w:rPr>
              <w:t>FO</w:t>
            </w:r>
          </w:p>
        </w:tc>
        <w:tc>
          <w:tcPr>
            <w:tcW w:w="5953" w:type="dxa"/>
            <w:tcMar>
              <w:top w:w="0" w:type="dxa"/>
              <w:left w:w="108" w:type="dxa"/>
              <w:bottom w:w="0" w:type="dxa"/>
              <w:right w:w="108" w:type="dxa"/>
            </w:tcMar>
            <w:vAlign w:val="center"/>
          </w:tcPr>
          <w:p>
            <w:pPr>
              <w:keepNext/>
              <w:spacing w:before="20" w:after="20" w:line="276" w:lineRule="auto"/>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+/- 0.1ppm, uniform distribution</w:t>
            </w:r>
          </w:p>
        </w:tc>
      </w:tr>
    </w:tbl>
    <w:p>
      <w:pPr>
        <w:rPr>
          <w:rFonts w:hint="eastAsia" w:cs="Times New Roman"/>
          <w:sz w:val="20"/>
          <w:szCs w:val="20"/>
          <w:highlight w:val="none"/>
          <w:lang w:val="en-US" w:eastAsia="zh-CN"/>
        </w:rPr>
      </w:pPr>
      <w:r>
        <w:rPr>
          <w:rFonts w:hint="eastAsia" w:cs="Times New Roman"/>
          <w:sz w:val="20"/>
          <w:szCs w:val="20"/>
          <w:highlight w:val="none"/>
          <w:lang w:val="en-US" w:eastAsia="zh-CN"/>
        </w:rPr>
        <w:t xml:space="preserve"> </w:t>
      </w:r>
    </w:p>
    <w:p>
      <w:pPr>
        <w:pStyle w:val="126"/>
        <w:numPr>
          <w:ilvl w:val="0"/>
          <w:numId w:val="0"/>
        </w:numPr>
        <w:jc w:val="center"/>
        <w:rPr>
          <w:rFonts w:hint="default"/>
          <w:lang w:val="en-US"/>
        </w:rPr>
      </w:pPr>
      <w:r>
        <w:rPr>
          <w:b w:val="0"/>
          <w:bCs w:val="0"/>
          <w:szCs w:val="20"/>
          <w:lang w:eastAsia="zh-CN"/>
        </w:rPr>
        <w:t>Table A-</w:t>
      </w:r>
      <w:r>
        <w:rPr>
          <w:rFonts w:hint="eastAsia"/>
          <w:b w:val="0"/>
          <w:bCs w:val="0"/>
          <w:szCs w:val="20"/>
          <w:lang w:val="en-US" w:eastAsia="zh-CN"/>
        </w:rPr>
        <w:t>3</w:t>
      </w:r>
      <w:r>
        <w:rPr>
          <w:b w:val="0"/>
          <w:bCs w:val="0"/>
          <w:szCs w:val="20"/>
          <w:lang w:eastAsia="zh-CN"/>
        </w:rPr>
        <w:t xml:space="preserve"> </w:t>
      </w:r>
      <w:r>
        <w:rPr>
          <w:szCs w:val="20"/>
          <w:lang w:eastAsia="zh-CN"/>
        </w:rPr>
        <w:t xml:space="preserve">Simulation assumption for </w:t>
      </w:r>
      <w:r>
        <w:rPr>
          <w:rFonts w:hint="eastAsia" w:eastAsia="等线"/>
          <w:lang w:val="en-US" w:eastAsia="zh-CN"/>
        </w:rPr>
        <w:t>p</w:t>
      </w:r>
      <w:r>
        <w:rPr>
          <w:rFonts w:eastAsia="等线"/>
          <w:lang w:val="en-US" w:eastAsia="zh-CN"/>
        </w:rPr>
        <w:t>hase tolerance leve</w:t>
      </w:r>
      <w:r>
        <w:rPr>
          <w:rFonts w:hint="eastAsia" w:eastAsia="等线"/>
          <w:lang w:val="en-US" w:eastAsia="zh-CN"/>
        </w:rPr>
        <w:t>l a</w:t>
      </w:r>
      <w:r>
        <w:rPr>
          <w:rFonts w:hint="eastAsia"/>
          <w:highlight w:val="none"/>
          <w:lang w:val="en-US" w:eastAsia="zh-CN"/>
        </w:rPr>
        <w:t xml:space="preserve">nd </w:t>
      </w:r>
      <w:r>
        <w:rPr>
          <w:rFonts w:hint="eastAsia" w:eastAsia="等线"/>
          <w:lang w:val="en-US" w:eastAsia="zh-CN"/>
        </w:rPr>
        <w:t xml:space="preserve">amplitude </w:t>
      </w:r>
      <w:r>
        <w:rPr>
          <w:rFonts w:eastAsia="等线"/>
          <w:lang w:val="en-US" w:eastAsia="zh-CN"/>
        </w:rPr>
        <w:t>tolerance leve</w:t>
      </w:r>
      <w:r>
        <w:rPr>
          <w:rFonts w:hint="eastAsia" w:eastAsia="等线"/>
          <w:lang w:val="en-US" w:eastAsia="zh-CN"/>
        </w:rPr>
        <w:t>l for PUSCH</w:t>
      </w:r>
    </w:p>
    <w:tbl>
      <w:tblPr>
        <w:tblStyle w:val="50"/>
        <w:tblW w:w="9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0"/>
        <w:gridCol w:w="3516"/>
        <w:gridCol w:w="34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DEEBF6" w:themeFill="accent1" w:themeFillTint="32"/>
            <w:vAlign w:val="center"/>
          </w:tcPr>
          <w:p>
            <w:pPr>
              <w:jc w:val="left"/>
              <w:rPr>
                <w:b/>
                <w:bCs/>
                <w:lang w:eastAsia="zh-CN"/>
              </w:rPr>
            </w:pPr>
            <w:r>
              <w:rPr>
                <w:b/>
                <w:bCs/>
                <w:lang w:eastAsia="zh-CN"/>
              </w:rPr>
              <w:t>Parameters</w:t>
            </w:r>
          </w:p>
        </w:tc>
        <w:tc>
          <w:tcPr>
            <w:tcW w:w="6975" w:type="dxa"/>
            <w:gridSpan w:val="2"/>
            <w:shd w:val="clear" w:color="auto" w:fill="DEEBF6" w:themeFill="accent1" w:themeFillTint="32"/>
            <w:vAlign w:val="center"/>
          </w:tcPr>
          <w:p>
            <w:pPr>
              <w:jc w:val="center"/>
              <w:rPr>
                <w:b/>
                <w:bCs/>
                <w:lang w:eastAsia="zh-CN"/>
              </w:rPr>
            </w:pPr>
            <w:r>
              <w:rPr>
                <w:b/>
                <w:bCs/>
                <w:lang w:eastAsia="zh-CN"/>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Scenario</w:t>
            </w:r>
          </w:p>
        </w:tc>
        <w:tc>
          <w:tcPr>
            <w:tcW w:w="3516" w:type="dxa"/>
            <w:shd w:val="clear" w:color="auto" w:fill="auto"/>
            <w:vAlign w:val="center"/>
          </w:tcPr>
          <w:p>
            <w:pPr>
              <w:pStyle w:val="126"/>
              <w:numPr>
                <w:ilvl w:val="0"/>
                <w:numId w:val="0"/>
              </w:numPr>
              <w:jc w:val="left"/>
              <w:rPr>
                <w:rFonts w:hint="default" w:ascii="Times New Roman" w:hAnsi="Times New Roman" w:eastAsia="宋体" w:cs="Times New Roman"/>
                <w:szCs w:val="20"/>
                <w:lang w:val="en-US" w:eastAsia="zh-CN"/>
              </w:rPr>
            </w:pPr>
            <w:r>
              <w:rPr>
                <w:rFonts w:hint="default" w:ascii="Times New Roman" w:hAnsi="Times New Roman" w:eastAsia="宋体" w:cs="Times New Roman"/>
                <w:szCs w:val="20"/>
                <w:lang w:eastAsia="zh-CN"/>
              </w:rPr>
              <w:t>Urban</w:t>
            </w:r>
            <w:r>
              <w:rPr>
                <w:rFonts w:hint="eastAsia" w:ascii="Times New Roman" w:hAnsi="Times New Roman" w:eastAsia="宋体" w:cs="Times New Roman"/>
                <w:szCs w:val="20"/>
                <w:lang w:val="en-US" w:eastAsia="zh-CN"/>
              </w:rPr>
              <w:t xml:space="preserve"> , O2I</w:t>
            </w:r>
          </w:p>
        </w:tc>
        <w:tc>
          <w:tcPr>
            <w:tcW w:w="3459"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Rural</w:t>
            </w:r>
            <w:r>
              <w:rPr>
                <w:rFonts w:hint="eastAsia" w:ascii="Times New Roman" w:hAnsi="Times New Roman" w:eastAsia="宋体" w:cs="Times New Roman"/>
                <w:szCs w:val="20"/>
                <w:lang w:val="en-US" w:eastAsia="zh-CN"/>
              </w:rPr>
              <w:t>, O2I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Duplexing scheme and frequency</w:t>
            </w:r>
          </w:p>
        </w:tc>
        <w:tc>
          <w:tcPr>
            <w:tcW w:w="3516"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 xml:space="preserve">4GHz TDD </w:t>
            </w:r>
          </w:p>
        </w:tc>
        <w:tc>
          <w:tcPr>
            <w:tcW w:w="3459"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eastAsia" w:cs="Times New Roman"/>
                <w:szCs w:val="20"/>
                <w:lang w:val="en-US" w:eastAsia="zh-CN"/>
              </w:rPr>
              <w:t>700M</w:t>
            </w:r>
            <w:r>
              <w:rPr>
                <w:rFonts w:hint="default" w:ascii="Times New Roman" w:hAnsi="Times New Roman" w:eastAsia="宋体" w:cs="Times New Roman"/>
                <w:szCs w:val="20"/>
                <w:lang w:eastAsia="zh-CN"/>
              </w:rPr>
              <w:t xml:space="preserve">Hz </w:t>
            </w:r>
            <w:r>
              <w:rPr>
                <w:rFonts w:hint="eastAsia" w:cs="Times New Roman"/>
                <w:szCs w:val="20"/>
                <w:lang w:val="en-US" w:eastAsia="zh-CN"/>
              </w:rPr>
              <w:t>F</w:t>
            </w:r>
            <w:r>
              <w:rPr>
                <w:rFonts w:hint="default" w:ascii="Times New Roman" w:hAnsi="Times New Roman" w:eastAsia="宋体" w:cs="Times New Roman"/>
                <w:szCs w:val="20"/>
                <w:lang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Frame structure for TDD</w:t>
            </w:r>
          </w:p>
        </w:tc>
        <w:tc>
          <w:tcPr>
            <w:tcW w:w="6975" w:type="dxa"/>
            <w:gridSpan w:val="2"/>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DD</w:t>
            </w:r>
            <w:r>
              <w:rPr>
                <w:rFonts w:hint="eastAsia" w:cs="Times New Roman"/>
                <w:szCs w:val="20"/>
                <w:lang w:val="en-US" w:eastAsia="zh-CN"/>
              </w:rPr>
              <w:t>D</w:t>
            </w:r>
            <w:r>
              <w:rPr>
                <w:rFonts w:hint="default" w:ascii="Times New Roman" w:hAnsi="Times New Roman" w:eastAsia="宋体" w:cs="Times New Roman"/>
                <w:szCs w:val="20"/>
                <w:lang w:eastAsia="zh-CN"/>
              </w:rPr>
              <w:t>SU</w:t>
            </w:r>
            <w:r>
              <w:rPr>
                <w:rFonts w:hint="eastAsia" w:cs="Times New Roman"/>
                <w:szCs w:val="20"/>
                <w:lang w:val="en-US" w:eastAsia="zh-CN"/>
              </w:rPr>
              <w:t>DDSUU</w:t>
            </w:r>
            <w:r>
              <w:rPr>
                <w:rFonts w:hint="default" w:ascii="Times New Roman" w:hAnsi="Times New Roman" w:eastAsia="宋体" w:cs="Times New Roman"/>
                <w:szCs w:val="20"/>
                <w:lang w:eastAsia="zh-CN"/>
              </w:rPr>
              <w:t xml:space="preserve"> (S: 10D:2G:2U) for 4GHz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Transmission bit rate for data channel (bit/s)</w:t>
            </w:r>
          </w:p>
        </w:tc>
        <w:tc>
          <w:tcPr>
            <w:tcW w:w="3516"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eastAsia" w:ascii="Times New Roman" w:hAnsi="Times New Roman" w:eastAsia="宋体" w:cs="Times New Roman"/>
                <w:szCs w:val="20"/>
                <w:lang w:eastAsia="zh-CN"/>
              </w:rPr>
              <w:t>1</w:t>
            </w:r>
            <w:r>
              <w:rPr>
                <w:rFonts w:hint="default" w:ascii="Times New Roman" w:hAnsi="Times New Roman" w:eastAsia="宋体" w:cs="Times New Roman"/>
                <w:szCs w:val="20"/>
                <w:lang w:eastAsia="zh-CN"/>
              </w:rPr>
              <w:t xml:space="preserve"> Mbps for eMBB</w:t>
            </w:r>
          </w:p>
        </w:tc>
        <w:tc>
          <w:tcPr>
            <w:tcW w:w="3459"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100 kbps for eMBB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Subcarrier spacing</w:t>
            </w:r>
          </w:p>
        </w:tc>
        <w:tc>
          <w:tcPr>
            <w:tcW w:w="3516"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30kHz</w:t>
            </w:r>
          </w:p>
        </w:tc>
        <w:tc>
          <w:tcPr>
            <w:tcW w:w="3459"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eastAsia" w:cs="Times New Roman"/>
                <w:szCs w:val="20"/>
                <w:lang w:val="en-US" w:eastAsia="zh-CN"/>
              </w:rPr>
              <w:t>15</w:t>
            </w:r>
            <w:r>
              <w:rPr>
                <w:rFonts w:hint="default" w:ascii="Times New Roman" w:hAnsi="Times New Roman" w:eastAsia="宋体" w:cs="Times New Roman"/>
                <w:szCs w:val="20"/>
                <w:lang w:eastAsia="zh-CN"/>
              </w:rPr>
              <w:t xml:space="preserve">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Channel model for link-level simulation</w:t>
            </w:r>
          </w:p>
        </w:tc>
        <w:tc>
          <w:tcPr>
            <w:tcW w:w="3516"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 xml:space="preserve">TDL-C </w:t>
            </w:r>
          </w:p>
        </w:tc>
        <w:tc>
          <w:tcPr>
            <w:tcW w:w="3459"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TDL-C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Pathloss model (select from LoS or NLoS)</w:t>
            </w:r>
          </w:p>
        </w:tc>
        <w:tc>
          <w:tcPr>
            <w:tcW w:w="3516" w:type="dxa"/>
            <w:shd w:val="clear" w:color="auto" w:fill="auto"/>
            <w:vAlign w:val="center"/>
          </w:tcPr>
          <w:p>
            <w:pPr>
              <w:pStyle w:val="126"/>
              <w:numPr>
                <w:ilvl w:val="0"/>
                <w:numId w:val="0"/>
              </w:numPr>
              <w:jc w:val="left"/>
              <w:rPr>
                <w:rFonts w:hint="default" w:ascii="Times New Roman" w:hAnsi="Times New Roman" w:eastAsia="宋体" w:cs="Times New Roman"/>
                <w:szCs w:val="20"/>
                <w:lang w:val="en-US" w:eastAsia="zh-CN"/>
              </w:rPr>
            </w:pPr>
            <w:r>
              <w:rPr>
                <w:rFonts w:hint="default" w:ascii="Times New Roman" w:hAnsi="Times New Roman" w:eastAsia="宋体" w:cs="Times New Roman"/>
                <w:szCs w:val="20"/>
                <w:lang w:eastAsia="zh-CN"/>
              </w:rPr>
              <w:t>NLos</w:t>
            </w:r>
          </w:p>
        </w:tc>
        <w:tc>
          <w:tcPr>
            <w:tcW w:w="3459"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NLos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Delay Spread</w:t>
            </w:r>
          </w:p>
        </w:tc>
        <w:tc>
          <w:tcPr>
            <w:tcW w:w="3516"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300ns</w:t>
            </w:r>
          </w:p>
        </w:tc>
        <w:tc>
          <w:tcPr>
            <w:tcW w:w="3459"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300ns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UE velocity</w:t>
            </w:r>
          </w:p>
        </w:tc>
        <w:tc>
          <w:tcPr>
            <w:tcW w:w="3516"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3 km/h</w:t>
            </w:r>
          </w:p>
        </w:tc>
        <w:tc>
          <w:tcPr>
            <w:tcW w:w="3459"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3 km/h for</w:t>
            </w:r>
            <w:r>
              <w:rPr>
                <w:rFonts w:hint="eastAsia" w:ascii="Times New Roman" w:hAnsi="Times New Roman" w:eastAsia="宋体" w:cs="Times New Roman"/>
                <w:szCs w:val="20"/>
                <w:lang w:val="en-US" w:eastAsia="zh-CN"/>
              </w:rPr>
              <w:t xml:space="preserve"> O2I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 xml:space="preserve">Number of </w:t>
            </w:r>
            <w:r>
              <w:rPr>
                <w:rFonts w:hint="eastAsia" w:ascii="Times New Roman" w:hAnsi="Times New Roman" w:eastAsia="宋体" w:cs="Times New Roman"/>
                <w:szCs w:val="20"/>
                <w:lang w:val="en-US" w:eastAsia="zh-CN"/>
              </w:rPr>
              <w:t xml:space="preserve">RF chains </w:t>
            </w:r>
            <w:r>
              <w:rPr>
                <w:rFonts w:hint="default" w:ascii="Times New Roman" w:hAnsi="Times New Roman" w:eastAsia="宋体" w:cs="Times New Roman"/>
                <w:szCs w:val="20"/>
                <w:lang w:eastAsia="zh-CN"/>
              </w:rPr>
              <w:t>for BS</w:t>
            </w:r>
          </w:p>
        </w:tc>
        <w:tc>
          <w:tcPr>
            <w:tcW w:w="3516" w:type="dxa"/>
            <w:shd w:val="clear" w:color="auto" w:fill="auto"/>
            <w:vAlign w:val="center"/>
          </w:tcPr>
          <w:p>
            <w:pPr>
              <w:pStyle w:val="126"/>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4</w:t>
            </w:r>
          </w:p>
        </w:tc>
        <w:tc>
          <w:tcPr>
            <w:tcW w:w="3459" w:type="dxa"/>
            <w:shd w:val="clear" w:color="auto" w:fill="auto"/>
            <w:vAlign w:val="center"/>
          </w:tcPr>
          <w:p>
            <w:pPr>
              <w:pStyle w:val="126"/>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 xml:space="preserve">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Number of UE antennas</w:t>
            </w:r>
          </w:p>
        </w:tc>
        <w:tc>
          <w:tcPr>
            <w:tcW w:w="3516" w:type="dxa"/>
            <w:shd w:val="clear" w:color="auto" w:fill="auto"/>
            <w:vAlign w:val="center"/>
          </w:tcPr>
          <w:p>
            <w:pPr>
              <w:pStyle w:val="126"/>
              <w:numPr>
                <w:ilvl w:val="0"/>
                <w:numId w:val="0"/>
              </w:numPr>
              <w:jc w:val="left"/>
              <w:rPr>
                <w:rFonts w:hint="eastAsia"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 xml:space="preserve">1 </w:t>
            </w:r>
          </w:p>
        </w:tc>
        <w:tc>
          <w:tcPr>
            <w:tcW w:w="3459"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eastAsia" w:ascii="Times New Roman" w:hAnsi="Times New Roman" w:eastAsia="宋体" w:cs="Times New Roman"/>
                <w:szCs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 xml:space="preserve">Number of </w:t>
            </w:r>
            <w:r>
              <w:rPr>
                <w:rFonts w:hint="eastAsia" w:ascii="Times New Roman" w:hAnsi="Times New Roman" w:eastAsia="宋体" w:cs="Times New Roman"/>
                <w:szCs w:val="20"/>
                <w:lang w:val="en-US" w:eastAsia="zh-CN"/>
              </w:rPr>
              <w:t xml:space="preserve">RF chains </w:t>
            </w:r>
            <w:r>
              <w:rPr>
                <w:rFonts w:hint="default" w:ascii="Times New Roman" w:hAnsi="Times New Roman" w:eastAsia="宋体" w:cs="Times New Roman"/>
                <w:szCs w:val="20"/>
                <w:lang w:eastAsia="zh-CN"/>
              </w:rPr>
              <w:t>for UE</w:t>
            </w:r>
          </w:p>
        </w:tc>
        <w:tc>
          <w:tcPr>
            <w:tcW w:w="3516" w:type="dxa"/>
            <w:shd w:val="clear" w:color="auto" w:fill="auto"/>
            <w:vAlign w:val="center"/>
          </w:tcPr>
          <w:p>
            <w:pPr>
              <w:pStyle w:val="126"/>
              <w:numPr>
                <w:ilvl w:val="0"/>
                <w:numId w:val="0"/>
              </w:numPr>
              <w:jc w:val="left"/>
              <w:rPr>
                <w:rFonts w:hint="eastAsia" w:ascii="Times New Roman" w:hAnsi="Times New Roman" w:eastAsia="宋体" w:cs="Times New Roman"/>
                <w:szCs w:val="20"/>
                <w:lang w:eastAsia="zh-CN"/>
              </w:rPr>
            </w:pPr>
            <w:r>
              <w:rPr>
                <w:rFonts w:hint="eastAsia" w:ascii="Times New Roman" w:hAnsi="Times New Roman" w:eastAsia="宋体" w:cs="Times New Roman"/>
                <w:szCs w:val="20"/>
                <w:lang w:val="en-US" w:eastAsia="zh-CN"/>
              </w:rPr>
              <w:t>1</w:t>
            </w:r>
          </w:p>
        </w:tc>
        <w:tc>
          <w:tcPr>
            <w:tcW w:w="3459"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eastAsia" w:ascii="Times New Roman" w:hAnsi="Times New Roman" w:eastAsia="宋体" w:cs="Times New Roman"/>
                <w:szCs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Number of o</w:t>
            </w:r>
            <w:r>
              <w:rPr>
                <w:rFonts w:hint="default" w:ascii="Times New Roman" w:hAnsi="Times New Roman" w:eastAsia="宋体" w:cs="Times New Roman"/>
                <w:szCs w:val="20"/>
                <w:lang w:eastAsia="zh-CN"/>
              </w:rPr>
              <w:t xml:space="preserve">ccupied </w:t>
            </w:r>
            <w:r>
              <w:rPr>
                <w:rFonts w:hint="eastAsia" w:ascii="Times New Roman" w:hAnsi="Times New Roman" w:eastAsia="宋体" w:cs="Times New Roman"/>
                <w:szCs w:val="20"/>
                <w:lang w:val="en-US" w:eastAsia="zh-CN"/>
              </w:rPr>
              <w:t>RBs</w:t>
            </w:r>
          </w:p>
        </w:tc>
        <w:tc>
          <w:tcPr>
            <w:tcW w:w="3516" w:type="dxa"/>
            <w:shd w:val="clear" w:color="auto" w:fill="auto"/>
            <w:vAlign w:val="center"/>
          </w:tcPr>
          <w:p>
            <w:pPr>
              <w:pStyle w:val="126"/>
              <w:numPr>
                <w:ilvl w:val="0"/>
                <w:numId w:val="0"/>
              </w:numPr>
              <w:jc w:val="left"/>
              <w:rPr>
                <w:rFonts w:hint="default" w:ascii="Times New Roman" w:hAnsi="Times New Roman" w:eastAsia="宋体" w:cs="Times New Roman"/>
                <w:szCs w:val="20"/>
                <w:lang w:val="en-US" w:eastAsia="zh-CN"/>
              </w:rPr>
            </w:pPr>
            <w:r>
              <w:rPr>
                <w:rFonts w:hint="eastAsia" w:cs="Times New Roman"/>
                <w:szCs w:val="20"/>
                <w:lang w:val="en-US" w:eastAsia="zh-CN"/>
              </w:rPr>
              <w:t>15</w:t>
            </w:r>
          </w:p>
        </w:tc>
        <w:tc>
          <w:tcPr>
            <w:tcW w:w="3459" w:type="dxa"/>
            <w:shd w:val="clear" w:color="auto" w:fill="auto"/>
            <w:vAlign w:val="center"/>
          </w:tcPr>
          <w:p>
            <w:pPr>
              <w:pStyle w:val="126"/>
              <w:numPr>
                <w:ilvl w:val="0"/>
                <w:numId w:val="0"/>
              </w:numPr>
              <w:jc w:val="left"/>
              <w:rPr>
                <w:rFonts w:hint="eastAsia"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MCS</w:t>
            </w:r>
          </w:p>
        </w:tc>
        <w:tc>
          <w:tcPr>
            <w:tcW w:w="3516" w:type="dxa"/>
            <w:shd w:val="clear" w:color="auto" w:fill="auto"/>
            <w:vAlign w:val="center"/>
          </w:tcPr>
          <w:p>
            <w:pPr>
              <w:pStyle w:val="126"/>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MCS4</w:t>
            </w:r>
          </w:p>
        </w:tc>
        <w:tc>
          <w:tcPr>
            <w:tcW w:w="3459" w:type="dxa"/>
            <w:shd w:val="clear" w:color="auto" w:fill="auto"/>
            <w:vAlign w:val="center"/>
          </w:tcPr>
          <w:p>
            <w:pPr>
              <w:pStyle w:val="126"/>
              <w:numPr>
                <w:ilvl w:val="0"/>
                <w:numId w:val="0"/>
              </w:numPr>
              <w:jc w:val="left"/>
              <w:rPr>
                <w:rFonts w:hint="eastAsia"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MCS2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tcPr>
          <w:p>
            <w:pPr>
              <w:pStyle w:val="126"/>
              <w:numPr>
                <w:ilvl w:val="0"/>
                <w:numId w:val="0"/>
              </w:numPr>
              <w:jc w:val="left"/>
              <w:rPr>
                <w:rFonts w:hint="default" w:ascii="Times New Roman" w:hAnsi="Times New Roman" w:eastAsia="宋体" w:cs="Times New Roman"/>
                <w:szCs w:val="20"/>
                <w:highlight w:val="none"/>
                <w:lang w:eastAsia="zh-CN"/>
              </w:rPr>
            </w:pPr>
            <w:r>
              <w:rPr>
                <w:rFonts w:hint="default" w:ascii="Times New Roman" w:hAnsi="Times New Roman" w:eastAsia="宋体" w:cs="Times New Roman"/>
                <w:szCs w:val="20"/>
                <w:highlight w:val="none"/>
                <w:lang w:eastAsia="zh-CN"/>
              </w:rPr>
              <w:t>DMRS overhead</w:t>
            </w:r>
          </w:p>
        </w:tc>
        <w:tc>
          <w:tcPr>
            <w:tcW w:w="6975" w:type="dxa"/>
            <w:gridSpan w:val="2"/>
            <w:shd w:val="clear" w:color="auto" w:fill="auto"/>
          </w:tcPr>
          <w:p>
            <w:pPr>
              <w:pStyle w:val="126"/>
              <w:numPr>
                <w:ilvl w:val="0"/>
                <w:numId w:val="0"/>
              </w:numPr>
              <w:jc w:val="both"/>
              <w:rPr>
                <w:rFonts w:hint="eastAsia" w:ascii="Times New Roman" w:hAnsi="Times New Roman" w:eastAsia="宋体" w:cs="Times New Roman"/>
                <w:szCs w:val="20"/>
                <w:highlight w:val="none"/>
                <w:lang w:val="en-US" w:eastAsia="zh-CN"/>
              </w:rPr>
            </w:pPr>
            <w:r>
              <w:rPr>
                <w:rFonts w:hint="default" w:ascii="Times New Roman" w:hAnsi="Times New Roman" w:eastAsia="宋体" w:cs="Times New Roman"/>
                <w:szCs w:val="20"/>
                <w:highlight w:val="none"/>
                <w:lang w:eastAsia="zh-CN"/>
              </w:rPr>
              <w:t>Type I, 2 DMRS symbol (one front- loaded and one additional), no multiplexing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val="en-US" w:eastAsia="zh-CN"/>
              </w:rPr>
            </w:pPr>
            <w:r>
              <w:rPr>
                <w:rFonts w:hint="default" w:ascii="Times New Roman" w:hAnsi="Times New Roman" w:eastAsia="宋体" w:cs="Times New Roman"/>
                <w:szCs w:val="20"/>
                <w:lang w:eastAsia="zh-CN"/>
              </w:rPr>
              <w:t>Frequency hopping</w:t>
            </w:r>
          </w:p>
        </w:tc>
        <w:tc>
          <w:tcPr>
            <w:tcW w:w="6975" w:type="dxa"/>
            <w:gridSpan w:val="2"/>
            <w:shd w:val="clear" w:color="auto" w:fill="auto"/>
            <w:vAlign w:val="center"/>
          </w:tcPr>
          <w:p>
            <w:pPr>
              <w:pStyle w:val="126"/>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Disabled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Channel estimation</w:t>
            </w:r>
          </w:p>
        </w:tc>
        <w:tc>
          <w:tcPr>
            <w:tcW w:w="6975" w:type="dxa"/>
            <w:gridSpan w:val="2"/>
            <w:shd w:val="clear" w:color="auto" w:fill="auto"/>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Practical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Receiver type</w:t>
            </w:r>
          </w:p>
        </w:tc>
        <w:tc>
          <w:tcPr>
            <w:tcW w:w="6975" w:type="dxa"/>
            <w:gridSpan w:val="2"/>
            <w:shd w:val="clear" w:color="auto" w:fill="auto"/>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MMSE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BLER Target </w:t>
            </w:r>
          </w:p>
        </w:tc>
        <w:tc>
          <w:tcPr>
            <w:tcW w:w="6975" w:type="dxa"/>
            <w:gridSpan w:val="2"/>
            <w:shd w:val="clear" w:color="auto" w:fill="auto"/>
          </w:tcPr>
          <w:p>
            <w:pPr>
              <w:pStyle w:val="126"/>
              <w:numPr>
                <w:ilvl w:val="0"/>
                <w:numId w:val="0"/>
              </w:numPr>
              <w:jc w:val="left"/>
              <w:rPr>
                <w:rFonts w:hint="default" w:ascii="Times New Roman" w:hAnsi="Times New Roman" w:eastAsia="宋体" w:cs="Times New Roman"/>
                <w:szCs w:val="20"/>
                <w:lang w:eastAsia="zh-CN"/>
              </w:rPr>
            </w:pPr>
            <w:r>
              <w:rPr>
                <w:rFonts w:hint="eastAsia" w:ascii="Times New Roman" w:hAnsi="Times New Roman" w:eastAsia="宋体" w:cs="Times New Roman"/>
                <w:szCs w:val="20"/>
                <w:lang w:eastAsia="zh-CN"/>
              </w:rPr>
              <w:t xml:space="preserve">10% </w:t>
            </w:r>
            <w:r>
              <w:rPr>
                <w:rFonts w:hint="eastAsia" w:ascii="Times New Roman" w:hAnsi="Times New Roman" w:eastAsia="宋体" w:cs="Times New Roman"/>
                <w:szCs w:val="20"/>
                <w:lang w:val="en-US" w:eastAsia="zh-CN"/>
              </w:rPr>
              <w:t xml:space="preserve"> </w:t>
            </w:r>
            <w:r>
              <w:rPr>
                <w:rFonts w:hint="eastAsia" w:ascii="Times New Roman" w:hAnsi="Times New Roman" w:eastAsia="宋体" w:cs="Times New Roman"/>
                <w:szCs w:val="20"/>
                <w:lang w:eastAsia="zh-CN"/>
              </w:rPr>
              <w:t>iBLER for eMBB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eastAsia" w:ascii="Times New Roman" w:hAnsi="Times New Roman" w:eastAsia="宋体" w:cs="Times New Roman"/>
                <w:szCs w:val="20"/>
                <w:lang w:val="en-US" w:eastAsia="zh-CN"/>
              </w:rPr>
              <w:t>Waveform</w:t>
            </w:r>
          </w:p>
        </w:tc>
        <w:tc>
          <w:tcPr>
            <w:tcW w:w="6975" w:type="dxa"/>
            <w:gridSpan w:val="2"/>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eastAsia" w:ascii="Times New Roman" w:hAnsi="Times New Roman" w:eastAsia="宋体" w:cs="Times New Roman"/>
                <w:szCs w:val="20"/>
                <w:lang w:val="en-US" w:eastAsia="zh-CN"/>
              </w:rPr>
              <w:t xml:space="preserve">DFT-s-OFDM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Number of repetitions</w:t>
            </w:r>
          </w:p>
        </w:tc>
        <w:tc>
          <w:tcPr>
            <w:tcW w:w="6975" w:type="dxa"/>
            <w:gridSpan w:val="2"/>
            <w:shd w:val="clear" w:color="auto" w:fill="auto"/>
            <w:vAlign w:val="center"/>
          </w:tcPr>
          <w:p>
            <w:pPr>
              <w:pStyle w:val="126"/>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2 repetitions with JCE</w:t>
            </w:r>
          </w:p>
        </w:tc>
      </w:tr>
    </w:tbl>
    <w:p>
      <w:pPr>
        <w:rPr>
          <w:rFonts w:hint="default" w:cs="Times New Roman"/>
          <w:sz w:val="20"/>
          <w:szCs w:val="20"/>
          <w:highlight w:val="none"/>
          <w:lang w:val="en-US"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CG Times (WN)">
    <w:altName w:val="Times New Roman"/>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060971"/>
    <w:multiLevelType w:val="singleLevel"/>
    <w:tmpl w:val="93060971"/>
    <w:lvl w:ilvl="0" w:tentative="0">
      <w:start w:val="1"/>
      <w:numFmt w:val="bullet"/>
      <w:lvlText w:val=""/>
      <w:lvlJc w:val="left"/>
      <w:pPr>
        <w:ind w:left="420" w:hanging="420"/>
      </w:pPr>
      <w:rPr>
        <w:rFonts w:hint="default" w:ascii="Wingdings" w:hAnsi="Wingdings"/>
      </w:rPr>
    </w:lvl>
  </w:abstractNum>
  <w:abstractNum w:abstractNumId="1">
    <w:nsid w:val="085C6F09"/>
    <w:multiLevelType w:val="multilevel"/>
    <w:tmpl w:val="085C6F09"/>
    <w:lvl w:ilvl="0" w:tentative="0">
      <w:start w:val="1"/>
      <w:numFmt w:val="decimal"/>
      <w:pStyle w:val="2"/>
      <w:lvlText w:val="%1"/>
      <w:lvlJc w:val="left"/>
      <w:pPr>
        <w:ind w:left="432" w:hanging="432"/>
      </w:p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0BB71A10"/>
    <w:multiLevelType w:val="multilevel"/>
    <w:tmpl w:val="0BB71A1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862723A"/>
    <w:multiLevelType w:val="multilevel"/>
    <w:tmpl w:val="2862723A"/>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5">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7">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4"/>
  </w:num>
  <w:num w:numId="3">
    <w:abstractNumId w:val="8"/>
  </w:num>
  <w:num w:numId="4">
    <w:abstractNumId w:val="6"/>
  </w:num>
  <w:num w:numId="5">
    <w:abstractNumId w:val="10"/>
  </w:num>
  <w:num w:numId="6">
    <w:abstractNumId w:val="7"/>
  </w:num>
  <w:num w:numId="7">
    <w:abstractNumId w:val="5"/>
  </w:num>
  <w:num w:numId="8">
    <w:abstractNumId w:val="9"/>
  </w:num>
  <w:num w:numId="9">
    <w:abstractNumId w:val="2"/>
  </w:num>
  <w:num w:numId="10">
    <w:abstractNumId w:val="3"/>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10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86"/>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683"/>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DFB"/>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5A4"/>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14A"/>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5C71"/>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145"/>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2F0A"/>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3DAE"/>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994"/>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4E3"/>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BAB"/>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82F"/>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AE2"/>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0"/>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065FE1"/>
    <w:rsid w:val="01142425"/>
    <w:rsid w:val="011E7371"/>
    <w:rsid w:val="012227BC"/>
    <w:rsid w:val="012361AD"/>
    <w:rsid w:val="012840B7"/>
    <w:rsid w:val="01301D77"/>
    <w:rsid w:val="013049EB"/>
    <w:rsid w:val="013E52A0"/>
    <w:rsid w:val="013E6BC5"/>
    <w:rsid w:val="013F7A03"/>
    <w:rsid w:val="0159158A"/>
    <w:rsid w:val="016402CE"/>
    <w:rsid w:val="016C4B36"/>
    <w:rsid w:val="018C4D19"/>
    <w:rsid w:val="01957A69"/>
    <w:rsid w:val="01C05F33"/>
    <w:rsid w:val="01CF5F5C"/>
    <w:rsid w:val="01D869EF"/>
    <w:rsid w:val="01EB3A92"/>
    <w:rsid w:val="01F9259A"/>
    <w:rsid w:val="02090A2F"/>
    <w:rsid w:val="020F7BE6"/>
    <w:rsid w:val="02170941"/>
    <w:rsid w:val="02246831"/>
    <w:rsid w:val="022B670C"/>
    <w:rsid w:val="022C15F9"/>
    <w:rsid w:val="024E5904"/>
    <w:rsid w:val="025279B3"/>
    <w:rsid w:val="02653BD6"/>
    <w:rsid w:val="02666F90"/>
    <w:rsid w:val="02737E73"/>
    <w:rsid w:val="02750C58"/>
    <w:rsid w:val="027A2190"/>
    <w:rsid w:val="027E4A28"/>
    <w:rsid w:val="027F247D"/>
    <w:rsid w:val="02811D65"/>
    <w:rsid w:val="0284643E"/>
    <w:rsid w:val="029173C1"/>
    <w:rsid w:val="029B7F05"/>
    <w:rsid w:val="029E0936"/>
    <w:rsid w:val="02A92CF2"/>
    <w:rsid w:val="02C22981"/>
    <w:rsid w:val="02C431D1"/>
    <w:rsid w:val="02C46BEC"/>
    <w:rsid w:val="02CE2D5F"/>
    <w:rsid w:val="02E51F96"/>
    <w:rsid w:val="02EF2410"/>
    <w:rsid w:val="02F61C8A"/>
    <w:rsid w:val="02F72DA9"/>
    <w:rsid w:val="03023110"/>
    <w:rsid w:val="0306582A"/>
    <w:rsid w:val="030C0DC5"/>
    <w:rsid w:val="030E55A0"/>
    <w:rsid w:val="031A3229"/>
    <w:rsid w:val="03243765"/>
    <w:rsid w:val="032729F4"/>
    <w:rsid w:val="03387A48"/>
    <w:rsid w:val="03524B87"/>
    <w:rsid w:val="03532C3F"/>
    <w:rsid w:val="03556948"/>
    <w:rsid w:val="035F5CF6"/>
    <w:rsid w:val="035F79EB"/>
    <w:rsid w:val="036564BB"/>
    <w:rsid w:val="036A2B26"/>
    <w:rsid w:val="036E6CF6"/>
    <w:rsid w:val="03703A4A"/>
    <w:rsid w:val="037514BE"/>
    <w:rsid w:val="0378011B"/>
    <w:rsid w:val="03964D79"/>
    <w:rsid w:val="03B25C4C"/>
    <w:rsid w:val="03B923B7"/>
    <w:rsid w:val="03D12146"/>
    <w:rsid w:val="03D24EAD"/>
    <w:rsid w:val="03D263C1"/>
    <w:rsid w:val="03E873EE"/>
    <w:rsid w:val="03F94E83"/>
    <w:rsid w:val="03FC4856"/>
    <w:rsid w:val="040D4D8B"/>
    <w:rsid w:val="041C778B"/>
    <w:rsid w:val="04217C18"/>
    <w:rsid w:val="04233067"/>
    <w:rsid w:val="0438275A"/>
    <w:rsid w:val="043F4D1D"/>
    <w:rsid w:val="04417F95"/>
    <w:rsid w:val="044D14FC"/>
    <w:rsid w:val="04510B31"/>
    <w:rsid w:val="045508F5"/>
    <w:rsid w:val="047E59D0"/>
    <w:rsid w:val="048B63ED"/>
    <w:rsid w:val="048B7799"/>
    <w:rsid w:val="048D0860"/>
    <w:rsid w:val="048F11FF"/>
    <w:rsid w:val="04993970"/>
    <w:rsid w:val="049A507B"/>
    <w:rsid w:val="04A2712F"/>
    <w:rsid w:val="04AC4CE6"/>
    <w:rsid w:val="04B72387"/>
    <w:rsid w:val="04D33FC9"/>
    <w:rsid w:val="04E96683"/>
    <w:rsid w:val="050403F6"/>
    <w:rsid w:val="050D4324"/>
    <w:rsid w:val="053B6A95"/>
    <w:rsid w:val="055F65D9"/>
    <w:rsid w:val="05786358"/>
    <w:rsid w:val="05790783"/>
    <w:rsid w:val="057F3FBC"/>
    <w:rsid w:val="058B676C"/>
    <w:rsid w:val="05AB1DBE"/>
    <w:rsid w:val="05AB21D8"/>
    <w:rsid w:val="05C5106E"/>
    <w:rsid w:val="05D70B9A"/>
    <w:rsid w:val="05DC6DC9"/>
    <w:rsid w:val="05DE13E6"/>
    <w:rsid w:val="06045E70"/>
    <w:rsid w:val="060A4922"/>
    <w:rsid w:val="06252984"/>
    <w:rsid w:val="0632014D"/>
    <w:rsid w:val="06360315"/>
    <w:rsid w:val="065C6424"/>
    <w:rsid w:val="065D73F1"/>
    <w:rsid w:val="066D23C1"/>
    <w:rsid w:val="06751A9F"/>
    <w:rsid w:val="067C0933"/>
    <w:rsid w:val="067D4C1C"/>
    <w:rsid w:val="069503CF"/>
    <w:rsid w:val="069D64DB"/>
    <w:rsid w:val="069D7BEE"/>
    <w:rsid w:val="06B127E5"/>
    <w:rsid w:val="06D36EF8"/>
    <w:rsid w:val="06DE7A6A"/>
    <w:rsid w:val="06EB27E8"/>
    <w:rsid w:val="06F728A5"/>
    <w:rsid w:val="07013841"/>
    <w:rsid w:val="0705530E"/>
    <w:rsid w:val="070E2577"/>
    <w:rsid w:val="072F2729"/>
    <w:rsid w:val="073C0E5D"/>
    <w:rsid w:val="074F666F"/>
    <w:rsid w:val="075435F4"/>
    <w:rsid w:val="076041D2"/>
    <w:rsid w:val="07722C34"/>
    <w:rsid w:val="077252F2"/>
    <w:rsid w:val="077B14F8"/>
    <w:rsid w:val="077E7782"/>
    <w:rsid w:val="07866A1D"/>
    <w:rsid w:val="078F6F15"/>
    <w:rsid w:val="07B35775"/>
    <w:rsid w:val="07BF2066"/>
    <w:rsid w:val="07BF495A"/>
    <w:rsid w:val="07C21FA9"/>
    <w:rsid w:val="07D06D7A"/>
    <w:rsid w:val="07DC615C"/>
    <w:rsid w:val="07DD5AB3"/>
    <w:rsid w:val="07E42CE1"/>
    <w:rsid w:val="07ED4CF4"/>
    <w:rsid w:val="07EE7C38"/>
    <w:rsid w:val="07F9718A"/>
    <w:rsid w:val="081135FF"/>
    <w:rsid w:val="08252D8E"/>
    <w:rsid w:val="082E4E16"/>
    <w:rsid w:val="08346640"/>
    <w:rsid w:val="08362030"/>
    <w:rsid w:val="083B6931"/>
    <w:rsid w:val="083C0245"/>
    <w:rsid w:val="083E6D2C"/>
    <w:rsid w:val="0841066D"/>
    <w:rsid w:val="08476CF8"/>
    <w:rsid w:val="085A7FBA"/>
    <w:rsid w:val="085B444B"/>
    <w:rsid w:val="0885602C"/>
    <w:rsid w:val="08891F5A"/>
    <w:rsid w:val="08900475"/>
    <w:rsid w:val="08920EC0"/>
    <w:rsid w:val="089A4362"/>
    <w:rsid w:val="089C0A7A"/>
    <w:rsid w:val="08A66D61"/>
    <w:rsid w:val="08A871B9"/>
    <w:rsid w:val="08B2764A"/>
    <w:rsid w:val="08B8749D"/>
    <w:rsid w:val="08BF219B"/>
    <w:rsid w:val="08CE74A0"/>
    <w:rsid w:val="09093180"/>
    <w:rsid w:val="09133C1F"/>
    <w:rsid w:val="091A4BA9"/>
    <w:rsid w:val="091B67DF"/>
    <w:rsid w:val="092A0C39"/>
    <w:rsid w:val="093449BD"/>
    <w:rsid w:val="093A1AFA"/>
    <w:rsid w:val="09412CDF"/>
    <w:rsid w:val="0957797D"/>
    <w:rsid w:val="095E770A"/>
    <w:rsid w:val="096B6A5A"/>
    <w:rsid w:val="09705E78"/>
    <w:rsid w:val="0972706B"/>
    <w:rsid w:val="09823A62"/>
    <w:rsid w:val="098518EB"/>
    <w:rsid w:val="09860267"/>
    <w:rsid w:val="098678CD"/>
    <w:rsid w:val="09934F36"/>
    <w:rsid w:val="0999293B"/>
    <w:rsid w:val="099F1D72"/>
    <w:rsid w:val="09A342F4"/>
    <w:rsid w:val="09B37398"/>
    <w:rsid w:val="09C21BB6"/>
    <w:rsid w:val="09C641FA"/>
    <w:rsid w:val="09E8718E"/>
    <w:rsid w:val="09E95BA2"/>
    <w:rsid w:val="09EC104F"/>
    <w:rsid w:val="09FA1263"/>
    <w:rsid w:val="0A046E11"/>
    <w:rsid w:val="0A0679C5"/>
    <w:rsid w:val="0A0A47D5"/>
    <w:rsid w:val="0A182CE9"/>
    <w:rsid w:val="0A284649"/>
    <w:rsid w:val="0A293A5D"/>
    <w:rsid w:val="0A69604A"/>
    <w:rsid w:val="0A6B0B48"/>
    <w:rsid w:val="0A6C783C"/>
    <w:rsid w:val="0A722884"/>
    <w:rsid w:val="0A756253"/>
    <w:rsid w:val="0A914AD6"/>
    <w:rsid w:val="0A9D5B27"/>
    <w:rsid w:val="0AAA3A15"/>
    <w:rsid w:val="0AB8189F"/>
    <w:rsid w:val="0AC43EFB"/>
    <w:rsid w:val="0ACB4D16"/>
    <w:rsid w:val="0AD20731"/>
    <w:rsid w:val="0ADE51D8"/>
    <w:rsid w:val="0AEB7C4B"/>
    <w:rsid w:val="0AEE12D0"/>
    <w:rsid w:val="0AFC60B7"/>
    <w:rsid w:val="0B1278F6"/>
    <w:rsid w:val="0B262270"/>
    <w:rsid w:val="0B393F3B"/>
    <w:rsid w:val="0B3D4CB2"/>
    <w:rsid w:val="0B412BE7"/>
    <w:rsid w:val="0B43174E"/>
    <w:rsid w:val="0B525DD6"/>
    <w:rsid w:val="0B591705"/>
    <w:rsid w:val="0B5C0892"/>
    <w:rsid w:val="0B625351"/>
    <w:rsid w:val="0B676AF8"/>
    <w:rsid w:val="0B6F6E61"/>
    <w:rsid w:val="0B704778"/>
    <w:rsid w:val="0B893873"/>
    <w:rsid w:val="0B8B1D00"/>
    <w:rsid w:val="0B8F047F"/>
    <w:rsid w:val="0BA04A29"/>
    <w:rsid w:val="0BAD56E4"/>
    <w:rsid w:val="0BAD7041"/>
    <w:rsid w:val="0BBC62D8"/>
    <w:rsid w:val="0BD40F95"/>
    <w:rsid w:val="0BD5367B"/>
    <w:rsid w:val="0BDC4CB3"/>
    <w:rsid w:val="0BE62676"/>
    <w:rsid w:val="0BE94573"/>
    <w:rsid w:val="0BF45E8B"/>
    <w:rsid w:val="0BFB60FA"/>
    <w:rsid w:val="0C067BD2"/>
    <w:rsid w:val="0C1178F2"/>
    <w:rsid w:val="0C122231"/>
    <w:rsid w:val="0C1551CE"/>
    <w:rsid w:val="0C1B4F3E"/>
    <w:rsid w:val="0C2B6E0E"/>
    <w:rsid w:val="0C41011C"/>
    <w:rsid w:val="0C483DB7"/>
    <w:rsid w:val="0C5562D4"/>
    <w:rsid w:val="0C56233F"/>
    <w:rsid w:val="0C6F5654"/>
    <w:rsid w:val="0CAE04A1"/>
    <w:rsid w:val="0CB77457"/>
    <w:rsid w:val="0CCB0BD8"/>
    <w:rsid w:val="0CD5535B"/>
    <w:rsid w:val="0CD90E69"/>
    <w:rsid w:val="0CE16107"/>
    <w:rsid w:val="0CE37C3D"/>
    <w:rsid w:val="0CEB08F7"/>
    <w:rsid w:val="0CED2AC4"/>
    <w:rsid w:val="0CF17FE1"/>
    <w:rsid w:val="0CFB6545"/>
    <w:rsid w:val="0CFE366D"/>
    <w:rsid w:val="0D0224EE"/>
    <w:rsid w:val="0D057B3F"/>
    <w:rsid w:val="0D0B15AB"/>
    <w:rsid w:val="0D0B4241"/>
    <w:rsid w:val="0D132BA9"/>
    <w:rsid w:val="0D1D6054"/>
    <w:rsid w:val="0D274F1F"/>
    <w:rsid w:val="0D3F5E92"/>
    <w:rsid w:val="0D4C423F"/>
    <w:rsid w:val="0D623F68"/>
    <w:rsid w:val="0D660AC2"/>
    <w:rsid w:val="0D672BF6"/>
    <w:rsid w:val="0DA47121"/>
    <w:rsid w:val="0DC10615"/>
    <w:rsid w:val="0DC74AC1"/>
    <w:rsid w:val="0DCE068D"/>
    <w:rsid w:val="0DDC43A1"/>
    <w:rsid w:val="0DDD62E2"/>
    <w:rsid w:val="0DE87A2E"/>
    <w:rsid w:val="0E120AD5"/>
    <w:rsid w:val="0E2B22D3"/>
    <w:rsid w:val="0E3123CB"/>
    <w:rsid w:val="0E3738A0"/>
    <w:rsid w:val="0E3754E8"/>
    <w:rsid w:val="0E3B7841"/>
    <w:rsid w:val="0E500815"/>
    <w:rsid w:val="0E552497"/>
    <w:rsid w:val="0E795FF2"/>
    <w:rsid w:val="0E7A69CE"/>
    <w:rsid w:val="0E933444"/>
    <w:rsid w:val="0E9432BA"/>
    <w:rsid w:val="0E9A4B90"/>
    <w:rsid w:val="0EA26D03"/>
    <w:rsid w:val="0EA35468"/>
    <w:rsid w:val="0EB06FFE"/>
    <w:rsid w:val="0ED3187F"/>
    <w:rsid w:val="0EDC47DA"/>
    <w:rsid w:val="0EDC4C70"/>
    <w:rsid w:val="0EF1788E"/>
    <w:rsid w:val="0EF57D78"/>
    <w:rsid w:val="0F0A50A1"/>
    <w:rsid w:val="0F1D01AC"/>
    <w:rsid w:val="0F1F5448"/>
    <w:rsid w:val="0F255D9C"/>
    <w:rsid w:val="0F2A272E"/>
    <w:rsid w:val="0F3822A0"/>
    <w:rsid w:val="0F3E6F71"/>
    <w:rsid w:val="0F466159"/>
    <w:rsid w:val="0F4813E4"/>
    <w:rsid w:val="0F523012"/>
    <w:rsid w:val="0F5914A5"/>
    <w:rsid w:val="0F5B7697"/>
    <w:rsid w:val="0F5D39F2"/>
    <w:rsid w:val="0F633EE1"/>
    <w:rsid w:val="0F730F97"/>
    <w:rsid w:val="0F785FE0"/>
    <w:rsid w:val="0F7926D5"/>
    <w:rsid w:val="0F966380"/>
    <w:rsid w:val="0F973CB6"/>
    <w:rsid w:val="0F9E7E62"/>
    <w:rsid w:val="0FA41EEC"/>
    <w:rsid w:val="0FA51B4E"/>
    <w:rsid w:val="0FAB54F1"/>
    <w:rsid w:val="0FC166A9"/>
    <w:rsid w:val="0FC75472"/>
    <w:rsid w:val="0FC817D7"/>
    <w:rsid w:val="0FDF0452"/>
    <w:rsid w:val="0FF83BAD"/>
    <w:rsid w:val="0FFC750C"/>
    <w:rsid w:val="0FFE683F"/>
    <w:rsid w:val="10083B50"/>
    <w:rsid w:val="10150A41"/>
    <w:rsid w:val="101B366C"/>
    <w:rsid w:val="102D15F4"/>
    <w:rsid w:val="103D6CCC"/>
    <w:rsid w:val="10561D33"/>
    <w:rsid w:val="106D7EF3"/>
    <w:rsid w:val="107F75E5"/>
    <w:rsid w:val="10B10E9D"/>
    <w:rsid w:val="10BE60B3"/>
    <w:rsid w:val="10CE07F7"/>
    <w:rsid w:val="10D80AE3"/>
    <w:rsid w:val="10E17410"/>
    <w:rsid w:val="10EB380E"/>
    <w:rsid w:val="10EE5096"/>
    <w:rsid w:val="10EF11E3"/>
    <w:rsid w:val="10F4782B"/>
    <w:rsid w:val="11085831"/>
    <w:rsid w:val="11087971"/>
    <w:rsid w:val="110D6974"/>
    <w:rsid w:val="111214C5"/>
    <w:rsid w:val="111C6B8C"/>
    <w:rsid w:val="111D5232"/>
    <w:rsid w:val="112D3CAB"/>
    <w:rsid w:val="11381BCB"/>
    <w:rsid w:val="113A1A58"/>
    <w:rsid w:val="113B60DC"/>
    <w:rsid w:val="113F4766"/>
    <w:rsid w:val="11546F32"/>
    <w:rsid w:val="11551B4C"/>
    <w:rsid w:val="1165204A"/>
    <w:rsid w:val="11653C6F"/>
    <w:rsid w:val="1171597C"/>
    <w:rsid w:val="117E25DB"/>
    <w:rsid w:val="119C22B6"/>
    <w:rsid w:val="11AA286E"/>
    <w:rsid w:val="11C34D99"/>
    <w:rsid w:val="11CC6184"/>
    <w:rsid w:val="11EE2ABD"/>
    <w:rsid w:val="11F2126C"/>
    <w:rsid w:val="12232813"/>
    <w:rsid w:val="12323568"/>
    <w:rsid w:val="1257267A"/>
    <w:rsid w:val="125B46F6"/>
    <w:rsid w:val="126521FD"/>
    <w:rsid w:val="12864CDA"/>
    <w:rsid w:val="12A04B08"/>
    <w:rsid w:val="12A472D8"/>
    <w:rsid w:val="12AF4BF2"/>
    <w:rsid w:val="12B47087"/>
    <w:rsid w:val="12BC1850"/>
    <w:rsid w:val="12D66158"/>
    <w:rsid w:val="12DE4561"/>
    <w:rsid w:val="12E81EED"/>
    <w:rsid w:val="12ED7F8A"/>
    <w:rsid w:val="12F978CF"/>
    <w:rsid w:val="12FE321B"/>
    <w:rsid w:val="1300246B"/>
    <w:rsid w:val="130859B8"/>
    <w:rsid w:val="1311426C"/>
    <w:rsid w:val="1316061F"/>
    <w:rsid w:val="13191C76"/>
    <w:rsid w:val="131E20F5"/>
    <w:rsid w:val="1325790A"/>
    <w:rsid w:val="13262E1C"/>
    <w:rsid w:val="13304916"/>
    <w:rsid w:val="133A1981"/>
    <w:rsid w:val="134C196B"/>
    <w:rsid w:val="135349F3"/>
    <w:rsid w:val="13542596"/>
    <w:rsid w:val="1380021A"/>
    <w:rsid w:val="13842266"/>
    <w:rsid w:val="139006C7"/>
    <w:rsid w:val="139B24ED"/>
    <w:rsid w:val="13A95613"/>
    <w:rsid w:val="13AE6E14"/>
    <w:rsid w:val="13C03F95"/>
    <w:rsid w:val="13C566E7"/>
    <w:rsid w:val="13E37C93"/>
    <w:rsid w:val="13E77207"/>
    <w:rsid w:val="13EA1F24"/>
    <w:rsid w:val="13F04DEF"/>
    <w:rsid w:val="13F95340"/>
    <w:rsid w:val="14054947"/>
    <w:rsid w:val="141F2191"/>
    <w:rsid w:val="142E2BA9"/>
    <w:rsid w:val="14380455"/>
    <w:rsid w:val="145E5122"/>
    <w:rsid w:val="14844413"/>
    <w:rsid w:val="14970691"/>
    <w:rsid w:val="149E7C40"/>
    <w:rsid w:val="14AF2358"/>
    <w:rsid w:val="14C24737"/>
    <w:rsid w:val="14C63D75"/>
    <w:rsid w:val="14DE6894"/>
    <w:rsid w:val="14DE6F80"/>
    <w:rsid w:val="15182025"/>
    <w:rsid w:val="151A2518"/>
    <w:rsid w:val="152D2494"/>
    <w:rsid w:val="1549080F"/>
    <w:rsid w:val="154C0DCF"/>
    <w:rsid w:val="154D1264"/>
    <w:rsid w:val="15683C99"/>
    <w:rsid w:val="157028B9"/>
    <w:rsid w:val="1575AEB2"/>
    <w:rsid w:val="1579497C"/>
    <w:rsid w:val="157D4E78"/>
    <w:rsid w:val="15824EE1"/>
    <w:rsid w:val="15885490"/>
    <w:rsid w:val="158C654A"/>
    <w:rsid w:val="159767F2"/>
    <w:rsid w:val="15A74C0B"/>
    <w:rsid w:val="15C0038A"/>
    <w:rsid w:val="15CC20E6"/>
    <w:rsid w:val="15D04E34"/>
    <w:rsid w:val="15D15929"/>
    <w:rsid w:val="15DF5172"/>
    <w:rsid w:val="15E41777"/>
    <w:rsid w:val="15ED0CA7"/>
    <w:rsid w:val="15EE136C"/>
    <w:rsid w:val="16046BE6"/>
    <w:rsid w:val="16062BB8"/>
    <w:rsid w:val="160C4FD4"/>
    <w:rsid w:val="16193163"/>
    <w:rsid w:val="161A2359"/>
    <w:rsid w:val="16215696"/>
    <w:rsid w:val="16294BCB"/>
    <w:rsid w:val="162C0344"/>
    <w:rsid w:val="162D0BE1"/>
    <w:rsid w:val="162E3333"/>
    <w:rsid w:val="16447B29"/>
    <w:rsid w:val="16491944"/>
    <w:rsid w:val="164F7F6D"/>
    <w:rsid w:val="16560DFB"/>
    <w:rsid w:val="165D61C4"/>
    <w:rsid w:val="165E068A"/>
    <w:rsid w:val="166810DA"/>
    <w:rsid w:val="16844D12"/>
    <w:rsid w:val="16893058"/>
    <w:rsid w:val="16A9264F"/>
    <w:rsid w:val="16EB3F85"/>
    <w:rsid w:val="16F003E9"/>
    <w:rsid w:val="16F46CB6"/>
    <w:rsid w:val="16F540EA"/>
    <w:rsid w:val="16F9397F"/>
    <w:rsid w:val="1702D3F2"/>
    <w:rsid w:val="17054364"/>
    <w:rsid w:val="17214315"/>
    <w:rsid w:val="172949C2"/>
    <w:rsid w:val="17352BC7"/>
    <w:rsid w:val="17397C5F"/>
    <w:rsid w:val="17496283"/>
    <w:rsid w:val="174D6A64"/>
    <w:rsid w:val="175A11EE"/>
    <w:rsid w:val="17667212"/>
    <w:rsid w:val="177024AC"/>
    <w:rsid w:val="17746882"/>
    <w:rsid w:val="17A02394"/>
    <w:rsid w:val="17D25AA8"/>
    <w:rsid w:val="17D55212"/>
    <w:rsid w:val="17F06722"/>
    <w:rsid w:val="18063EB7"/>
    <w:rsid w:val="180B054C"/>
    <w:rsid w:val="181B0B92"/>
    <w:rsid w:val="182E5667"/>
    <w:rsid w:val="183A1C23"/>
    <w:rsid w:val="183E5453"/>
    <w:rsid w:val="185A74CB"/>
    <w:rsid w:val="185D5489"/>
    <w:rsid w:val="188D2058"/>
    <w:rsid w:val="18B0419C"/>
    <w:rsid w:val="18B93707"/>
    <w:rsid w:val="18BA7603"/>
    <w:rsid w:val="18C93FD3"/>
    <w:rsid w:val="18DF4308"/>
    <w:rsid w:val="18E03C4B"/>
    <w:rsid w:val="18F923D2"/>
    <w:rsid w:val="18FA34CF"/>
    <w:rsid w:val="18FD3F86"/>
    <w:rsid w:val="190727FC"/>
    <w:rsid w:val="190769D0"/>
    <w:rsid w:val="191E7534"/>
    <w:rsid w:val="192000D8"/>
    <w:rsid w:val="192B740B"/>
    <w:rsid w:val="193F3A6F"/>
    <w:rsid w:val="19481FB4"/>
    <w:rsid w:val="194D1888"/>
    <w:rsid w:val="195D5B11"/>
    <w:rsid w:val="19654572"/>
    <w:rsid w:val="196F12BF"/>
    <w:rsid w:val="197B728B"/>
    <w:rsid w:val="19885ECA"/>
    <w:rsid w:val="19985D58"/>
    <w:rsid w:val="19990307"/>
    <w:rsid w:val="19B43253"/>
    <w:rsid w:val="19C16358"/>
    <w:rsid w:val="19CF5864"/>
    <w:rsid w:val="19D61162"/>
    <w:rsid w:val="19F83021"/>
    <w:rsid w:val="1A032D56"/>
    <w:rsid w:val="1A047870"/>
    <w:rsid w:val="1A0819A7"/>
    <w:rsid w:val="1A12638E"/>
    <w:rsid w:val="1A1C5725"/>
    <w:rsid w:val="1A2A7B61"/>
    <w:rsid w:val="1A3E3420"/>
    <w:rsid w:val="1A4153D1"/>
    <w:rsid w:val="1A4A3F0A"/>
    <w:rsid w:val="1A511D73"/>
    <w:rsid w:val="1A514204"/>
    <w:rsid w:val="1A6D52BA"/>
    <w:rsid w:val="1A9A5334"/>
    <w:rsid w:val="1AA74EC3"/>
    <w:rsid w:val="1AB30457"/>
    <w:rsid w:val="1AC47007"/>
    <w:rsid w:val="1AC54812"/>
    <w:rsid w:val="1AD12BB5"/>
    <w:rsid w:val="1AE5427B"/>
    <w:rsid w:val="1AE80DCE"/>
    <w:rsid w:val="1AF347EB"/>
    <w:rsid w:val="1AF755F3"/>
    <w:rsid w:val="1AFB735D"/>
    <w:rsid w:val="1AFD5ABB"/>
    <w:rsid w:val="1B0622DE"/>
    <w:rsid w:val="1B2C5315"/>
    <w:rsid w:val="1B2E6DC7"/>
    <w:rsid w:val="1B335CCA"/>
    <w:rsid w:val="1B4232A0"/>
    <w:rsid w:val="1B4B57AE"/>
    <w:rsid w:val="1B4D0DA0"/>
    <w:rsid w:val="1B5201C0"/>
    <w:rsid w:val="1B5316CE"/>
    <w:rsid w:val="1B54712A"/>
    <w:rsid w:val="1B5E59D2"/>
    <w:rsid w:val="1B676F42"/>
    <w:rsid w:val="1B710511"/>
    <w:rsid w:val="1B80488C"/>
    <w:rsid w:val="1B851BB9"/>
    <w:rsid w:val="1B9210F0"/>
    <w:rsid w:val="1B9B65A0"/>
    <w:rsid w:val="1B9F7ADA"/>
    <w:rsid w:val="1BAF344D"/>
    <w:rsid w:val="1BAF66C5"/>
    <w:rsid w:val="1BD16953"/>
    <w:rsid w:val="1BDC2DFC"/>
    <w:rsid w:val="1BE4287B"/>
    <w:rsid w:val="1BF842FA"/>
    <w:rsid w:val="1C007D99"/>
    <w:rsid w:val="1C0B30DB"/>
    <w:rsid w:val="1C0E6BEE"/>
    <w:rsid w:val="1C0F5FA8"/>
    <w:rsid w:val="1C112417"/>
    <w:rsid w:val="1C1F18FE"/>
    <w:rsid w:val="1C2168C5"/>
    <w:rsid w:val="1C362BA7"/>
    <w:rsid w:val="1C733425"/>
    <w:rsid w:val="1C766428"/>
    <w:rsid w:val="1C7F16CE"/>
    <w:rsid w:val="1C820352"/>
    <w:rsid w:val="1C921230"/>
    <w:rsid w:val="1C951541"/>
    <w:rsid w:val="1C975B06"/>
    <w:rsid w:val="1C9D0C61"/>
    <w:rsid w:val="1C9E7BF7"/>
    <w:rsid w:val="1CA47262"/>
    <w:rsid w:val="1CB626A2"/>
    <w:rsid w:val="1CC02EEB"/>
    <w:rsid w:val="1CC95D58"/>
    <w:rsid w:val="1CD55E49"/>
    <w:rsid w:val="1CD66773"/>
    <w:rsid w:val="1CDB419E"/>
    <w:rsid w:val="1CE00D0C"/>
    <w:rsid w:val="1CE03327"/>
    <w:rsid w:val="1CE315E7"/>
    <w:rsid w:val="1CEA5D00"/>
    <w:rsid w:val="1CFF6AE6"/>
    <w:rsid w:val="1D006EEB"/>
    <w:rsid w:val="1D191A80"/>
    <w:rsid w:val="1D1E1C9D"/>
    <w:rsid w:val="1D22453F"/>
    <w:rsid w:val="1D2355A7"/>
    <w:rsid w:val="1D2D60CC"/>
    <w:rsid w:val="1D444F6F"/>
    <w:rsid w:val="1D465FAC"/>
    <w:rsid w:val="1D48291A"/>
    <w:rsid w:val="1D641DD7"/>
    <w:rsid w:val="1D69224B"/>
    <w:rsid w:val="1D70100B"/>
    <w:rsid w:val="1D7159A9"/>
    <w:rsid w:val="1D833CB2"/>
    <w:rsid w:val="1D8A5B98"/>
    <w:rsid w:val="1D9F20FA"/>
    <w:rsid w:val="1DA131C8"/>
    <w:rsid w:val="1DA21087"/>
    <w:rsid w:val="1DAA1E11"/>
    <w:rsid w:val="1DB533DE"/>
    <w:rsid w:val="1DD50930"/>
    <w:rsid w:val="1DE811C7"/>
    <w:rsid w:val="1DF10475"/>
    <w:rsid w:val="1DF30DF6"/>
    <w:rsid w:val="1DF403D6"/>
    <w:rsid w:val="1DF407BB"/>
    <w:rsid w:val="1DF611DF"/>
    <w:rsid w:val="1DFD75F9"/>
    <w:rsid w:val="1E021D58"/>
    <w:rsid w:val="1E0A4FC8"/>
    <w:rsid w:val="1E1F3F49"/>
    <w:rsid w:val="1E38003B"/>
    <w:rsid w:val="1E387FBE"/>
    <w:rsid w:val="1E56296A"/>
    <w:rsid w:val="1E5870B5"/>
    <w:rsid w:val="1E871C1C"/>
    <w:rsid w:val="1E961700"/>
    <w:rsid w:val="1E974710"/>
    <w:rsid w:val="1EA41854"/>
    <w:rsid w:val="1EA814C8"/>
    <w:rsid w:val="1EB815C1"/>
    <w:rsid w:val="1ED83B42"/>
    <w:rsid w:val="1ED967C7"/>
    <w:rsid w:val="1EFA61DF"/>
    <w:rsid w:val="1EFC7D03"/>
    <w:rsid w:val="1F1466D8"/>
    <w:rsid w:val="1F1F0AE0"/>
    <w:rsid w:val="1F2359B2"/>
    <w:rsid w:val="1F24386E"/>
    <w:rsid w:val="1F2957B4"/>
    <w:rsid w:val="1F391D93"/>
    <w:rsid w:val="1F425461"/>
    <w:rsid w:val="1F540FC7"/>
    <w:rsid w:val="1F5815A4"/>
    <w:rsid w:val="1F5933C2"/>
    <w:rsid w:val="1F5D2B5E"/>
    <w:rsid w:val="1F6A2F08"/>
    <w:rsid w:val="1F700285"/>
    <w:rsid w:val="1F701DB1"/>
    <w:rsid w:val="1F793BC2"/>
    <w:rsid w:val="1F7D71EF"/>
    <w:rsid w:val="1F83552D"/>
    <w:rsid w:val="1F850095"/>
    <w:rsid w:val="1F966685"/>
    <w:rsid w:val="1FB60E56"/>
    <w:rsid w:val="1FB669E6"/>
    <w:rsid w:val="1FB91CD0"/>
    <w:rsid w:val="1FC768A2"/>
    <w:rsid w:val="1FD976A2"/>
    <w:rsid w:val="1FE4776E"/>
    <w:rsid w:val="1FE759BD"/>
    <w:rsid w:val="1FEA05A8"/>
    <w:rsid w:val="1FEB5923"/>
    <w:rsid w:val="1FF54210"/>
    <w:rsid w:val="200275AB"/>
    <w:rsid w:val="200915A8"/>
    <w:rsid w:val="200F3E1D"/>
    <w:rsid w:val="2013006C"/>
    <w:rsid w:val="2013116B"/>
    <w:rsid w:val="2023376E"/>
    <w:rsid w:val="20275F86"/>
    <w:rsid w:val="20321821"/>
    <w:rsid w:val="20337A5B"/>
    <w:rsid w:val="203C3D7B"/>
    <w:rsid w:val="20453674"/>
    <w:rsid w:val="206476F4"/>
    <w:rsid w:val="20686DDC"/>
    <w:rsid w:val="206E4DE2"/>
    <w:rsid w:val="20724C30"/>
    <w:rsid w:val="2085476B"/>
    <w:rsid w:val="20882727"/>
    <w:rsid w:val="20886AB6"/>
    <w:rsid w:val="208B319F"/>
    <w:rsid w:val="208E145A"/>
    <w:rsid w:val="20910CB1"/>
    <w:rsid w:val="209472AF"/>
    <w:rsid w:val="20AC2748"/>
    <w:rsid w:val="20BA2550"/>
    <w:rsid w:val="20C32392"/>
    <w:rsid w:val="20CD42FE"/>
    <w:rsid w:val="20D11674"/>
    <w:rsid w:val="20D738C8"/>
    <w:rsid w:val="20DC2559"/>
    <w:rsid w:val="20DC64F0"/>
    <w:rsid w:val="20E65374"/>
    <w:rsid w:val="21035A99"/>
    <w:rsid w:val="210C0F6D"/>
    <w:rsid w:val="21282288"/>
    <w:rsid w:val="212965AC"/>
    <w:rsid w:val="212C2086"/>
    <w:rsid w:val="214843B7"/>
    <w:rsid w:val="215E591E"/>
    <w:rsid w:val="21AB7F51"/>
    <w:rsid w:val="21AC1DD3"/>
    <w:rsid w:val="21B15D7D"/>
    <w:rsid w:val="21C6055D"/>
    <w:rsid w:val="21C969C2"/>
    <w:rsid w:val="21CB6BA9"/>
    <w:rsid w:val="21CE5C50"/>
    <w:rsid w:val="21FF00E8"/>
    <w:rsid w:val="220C62F2"/>
    <w:rsid w:val="220C6C3A"/>
    <w:rsid w:val="221D11F2"/>
    <w:rsid w:val="222D48CD"/>
    <w:rsid w:val="22371F62"/>
    <w:rsid w:val="22386688"/>
    <w:rsid w:val="223924E2"/>
    <w:rsid w:val="22402037"/>
    <w:rsid w:val="22457269"/>
    <w:rsid w:val="224C06B3"/>
    <w:rsid w:val="224F6367"/>
    <w:rsid w:val="226322C1"/>
    <w:rsid w:val="227560B9"/>
    <w:rsid w:val="227B2533"/>
    <w:rsid w:val="227B7724"/>
    <w:rsid w:val="227C15DC"/>
    <w:rsid w:val="227C2816"/>
    <w:rsid w:val="228960E9"/>
    <w:rsid w:val="228B5DA5"/>
    <w:rsid w:val="22906A5F"/>
    <w:rsid w:val="2296125E"/>
    <w:rsid w:val="229A46DB"/>
    <w:rsid w:val="229E0FD3"/>
    <w:rsid w:val="22BB3E5D"/>
    <w:rsid w:val="22C22FF5"/>
    <w:rsid w:val="22DF429A"/>
    <w:rsid w:val="22F03980"/>
    <w:rsid w:val="22FA3E1F"/>
    <w:rsid w:val="22FB1DE7"/>
    <w:rsid w:val="22FE2795"/>
    <w:rsid w:val="23144E3C"/>
    <w:rsid w:val="231E4B98"/>
    <w:rsid w:val="232D30A1"/>
    <w:rsid w:val="233A5AD7"/>
    <w:rsid w:val="234A07F7"/>
    <w:rsid w:val="235245AF"/>
    <w:rsid w:val="235E5266"/>
    <w:rsid w:val="23675E5A"/>
    <w:rsid w:val="23680C07"/>
    <w:rsid w:val="23692055"/>
    <w:rsid w:val="236959BD"/>
    <w:rsid w:val="236C712E"/>
    <w:rsid w:val="236F647B"/>
    <w:rsid w:val="23842493"/>
    <w:rsid w:val="238B15F3"/>
    <w:rsid w:val="239E142D"/>
    <w:rsid w:val="23AF0B90"/>
    <w:rsid w:val="23AF3044"/>
    <w:rsid w:val="23BD1EF4"/>
    <w:rsid w:val="23D221B6"/>
    <w:rsid w:val="23D61A36"/>
    <w:rsid w:val="23D7437F"/>
    <w:rsid w:val="23DE1FFC"/>
    <w:rsid w:val="23E45AD1"/>
    <w:rsid w:val="23F72553"/>
    <w:rsid w:val="240778AE"/>
    <w:rsid w:val="2412672F"/>
    <w:rsid w:val="24190BD8"/>
    <w:rsid w:val="242475E5"/>
    <w:rsid w:val="243B3745"/>
    <w:rsid w:val="243E1E8C"/>
    <w:rsid w:val="245870DE"/>
    <w:rsid w:val="24666861"/>
    <w:rsid w:val="246C7478"/>
    <w:rsid w:val="246E2698"/>
    <w:rsid w:val="247247A7"/>
    <w:rsid w:val="2473146A"/>
    <w:rsid w:val="247A7EB9"/>
    <w:rsid w:val="248A0200"/>
    <w:rsid w:val="24990B16"/>
    <w:rsid w:val="24A26065"/>
    <w:rsid w:val="24A37C12"/>
    <w:rsid w:val="24BD3092"/>
    <w:rsid w:val="24CC0894"/>
    <w:rsid w:val="24D0128B"/>
    <w:rsid w:val="24E81F83"/>
    <w:rsid w:val="24EC64B9"/>
    <w:rsid w:val="24F14419"/>
    <w:rsid w:val="24F17C39"/>
    <w:rsid w:val="24FA3F52"/>
    <w:rsid w:val="25084882"/>
    <w:rsid w:val="2518476F"/>
    <w:rsid w:val="25371B04"/>
    <w:rsid w:val="25593824"/>
    <w:rsid w:val="2560279C"/>
    <w:rsid w:val="256A5B93"/>
    <w:rsid w:val="257E6FDC"/>
    <w:rsid w:val="25802A3C"/>
    <w:rsid w:val="25823C72"/>
    <w:rsid w:val="259A0EEE"/>
    <w:rsid w:val="259F2686"/>
    <w:rsid w:val="25A407F9"/>
    <w:rsid w:val="25AC3B44"/>
    <w:rsid w:val="25AF5D40"/>
    <w:rsid w:val="25B124FC"/>
    <w:rsid w:val="25BF1A11"/>
    <w:rsid w:val="25C2635D"/>
    <w:rsid w:val="25CB42AA"/>
    <w:rsid w:val="25D6245C"/>
    <w:rsid w:val="25E7438D"/>
    <w:rsid w:val="26152CC2"/>
    <w:rsid w:val="26166BCB"/>
    <w:rsid w:val="262078D4"/>
    <w:rsid w:val="26224A76"/>
    <w:rsid w:val="26230FC6"/>
    <w:rsid w:val="26276462"/>
    <w:rsid w:val="262D4AE2"/>
    <w:rsid w:val="263169CA"/>
    <w:rsid w:val="264D17ED"/>
    <w:rsid w:val="265F436F"/>
    <w:rsid w:val="266A7B14"/>
    <w:rsid w:val="267C010D"/>
    <w:rsid w:val="26803609"/>
    <w:rsid w:val="269F0235"/>
    <w:rsid w:val="26A24EAB"/>
    <w:rsid w:val="26A66E70"/>
    <w:rsid w:val="26AD33C2"/>
    <w:rsid w:val="26C006B0"/>
    <w:rsid w:val="26CA2E21"/>
    <w:rsid w:val="26D23AB0"/>
    <w:rsid w:val="26EE7123"/>
    <w:rsid w:val="26F550A7"/>
    <w:rsid w:val="26F567D6"/>
    <w:rsid w:val="26F60EF2"/>
    <w:rsid w:val="26FF1EED"/>
    <w:rsid w:val="27126FBE"/>
    <w:rsid w:val="2715553D"/>
    <w:rsid w:val="272C1CCE"/>
    <w:rsid w:val="27323917"/>
    <w:rsid w:val="27697289"/>
    <w:rsid w:val="278602ED"/>
    <w:rsid w:val="27864A32"/>
    <w:rsid w:val="278811C1"/>
    <w:rsid w:val="279152FB"/>
    <w:rsid w:val="27930FA6"/>
    <w:rsid w:val="279B5B94"/>
    <w:rsid w:val="27C30240"/>
    <w:rsid w:val="27C5366D"/>
    <w:rsid w:val="27C86EE4"/>
    <w:rsid w:val="27D04335"/>
    <w:rsid w:val="27DC1652"/>
    <w:rsid w:val="27DD67CA"/>
    <w:rsid w:val="27FB0628"/>
    <w:rsid w:val="27FD1A8E"/>
    <w:rsid w:val="28067268"/>
    <w:rsid w:val="2816072E"/>
    <w:rsid w:val="281D049C"/>
    <w:rsid w:val="282926B1"/>
    <w:rsid w:val="282F1BB4"/>
    <w:rsid w:val="28690808"/>
    <w:rsid w:val="28826392"/>
    <w:rsid w:val="28AB4124"/>
    <w:rsid w:val="28B07E55"/>
    <w:rsid w:val="28B54AA2"/>
    <w:rsid w:val="28C77C30"/>
    <w:rsid w:val="28CA1A30"/>
    <w:rsid w:val="28E1455A"/>
    <w:rsid w:val="28F0323A"/>
    <w:rsid w:val="29035533"/>
    <w:rsid w:val="290864FF"/>
    <w:rsid w:val="290D04CF"/>
    <w:rsid w:val="290E0F51"/>
    <w:rsid w:val="29126A9D"/>
    <w:rsid w:val="291F26C6"/>
    <w:rsid w:val="29274081"/>
    <w:rsid w:val="29416563"/>
    <w:rsid w:val="2946251E"/>
    <w:rsid w:val="294840EB"/>
    <w:rsid w:val="295A76BB"/>
    <w:rsid w:val="295B236F"/>
    <w:rsid w:val="295D3508"/>
    <w:rsid w:val="29700B5B"/>
    <w:rsid w:val="2973204B"/>
    <w:rsid w:val="29732B50"/>
    <w:rsid w:val="297F342E"/>
    <w:rsid w:val="29A25A65"/>
    <w:rsid w:val="29D66555"/>
    <w:rsid w:val="29DF0E65"/>
    <w:rsid w:val="29E246D0"/>
    <w:rsid w:val="29E80DDC"/>
    <w:rsid w:val="29EC1C6D"/>
    <w:rsid w:val="29F51B7F"/>
    <w:rsid w:val="29F56C22"/>
    <w:rsid w:val="29FC6918"/>
    <w:rsid w:val="2A0F0B23"/>
    <w:rsid w:val="2A1B3405"/>
    <w:rsid w:val="2A22737E"/>
    <w:rsid w:val="2A2F098B"/>
    <w:rsid w:val="2A335F10"/>
    <w:rsid w:val="2A3F4382"/>
    <w:rsid w:val="2A421221"/>
    <w:rsid w:val="2A4A0F6A"/>
    <w:rsid w:val="2A4E5AD9"/>
    <w:rsid w:val="2A502B96"/>
    <w:rsid w:val="2A5C0B34"/>
    <w:rsid w:val="2A71440E"/>
    <w:rsid w:val="2A756AA4"/>
    <w:rsid w:val="2A893D90"/>
    <w:rsid w:val="2A932738"/>
    <w:rsid w:val="2A9A305C"/>
    <w:rsid w:val="2A9D552B"/>
    <w:rsid w:val="2AC3505A"/>
    <w:rsid w:val="2ACB1712"/>
    <w:rsid w:val="2AEE2A9D"/>
    <w:rsid w:val="2AFE2B7E"/>
    <w:rsid w:val="2AFE6E30"/>
    <w:rsid w:val="2B0026C4"/>
    <w:rsid w:val="2B0220EE"/>
    <w:rsid w:val="2B0A38F2"/>
    <w:rsid w:val="2B1A73FE"/>
    <w:rsid w:val="2B26248E"/>
    <w:rsid w:val="2B295F0F"/>
    <w:rsid w:val="2B2C401A"/>
    <w:rsid w:val="2B3F1C6E"/>
    <w:rsid w:val="2B433574"/>
    <w:rsid w:val="2B486E42"/>
    <w:rsid w:val="2B527EC9"/>
    <w:rsid w:val="2B631906"/>
    <w:rsid w:val="2B69336A"/>
    <w:rsid w:val="2B694550"/>
    <w:rsid w:val="2B756022"/>
    <w:rsid w:val="2B7E3673"/>
    <w:rsid w:val="2B7E50AA"/>
    <w:rsid w:val="2B8955D4"/>
    <w:rsid w:val="2B9F50BF"/>
    <w:rsid w:val="2BA43F92"/>
    <w:rsid w:val="2BAD2EAA"/>
    <w:rsid w:val="2BAD55EF"/>
    <w:rsid w:val="2BB25377"/>
    <w:rsid w:val="2BCA192B"/>
    <w:rsid w:val="2BDF29BF"/>
    <w:rsid w:val="2C04642B"/>
    <w:rsid w:val="2C0E164B"/>
    <w:rsid w:val="2C216059"/>
    <w:rsid w:val="2C366E1A"/>
    <w:rsid w:val="2C3A0289"/>
    <w:rsid w:val="2C4C6793"/>
    <w:rsid w:val="2C56265F"/>
    <w:rsid w:val="2C5B2011"/>
    <w:rsid w:val="2C6B3B99"/>
    <w:rsid w:val="2C6F3806"/>
    <w:rsid w:val="2C774434"/>
    <w:rsid w:val="2C8B2D41"/>
    <w:rsid w:val="2C91784F"/>
    <w:rsid w:val="2C9B4BB5"/>
    <w:rsid w:val="2CA31324"/>
    <w:rsid w:val="2CB23183"/>
    <w:rsid w:val="2CD16F5F"/>
    <w:rsid w:val="2CDD0441"/>
    <w:rsid w:val="2CDD7D4B"/>
    <w:rsid w:val="2CEA7FEF"/>
    <w:rsid w:val="2CEB24DE"/>
    <w:rsid w:val="2CF00B17"/>
    <w:rsid w:val="2CF04E98"/>
    <w:rsid w:val="2D0240FC"/>
    <w:rsid w:val="2D024785"/>
    <w:rsid w:val="2D025E7B"/>
    <w:rsid w:val="2D1674CE"/>
    <w:rsid w:val="2D200B2E"/>
    <w:rsid w:val="2D376513"/>
    <w:rsid w:val="2D3F2C8E"/>
    <w:rsid w:val="2D470923"/>
    <w:rsid w:val="2D4B732C"/>
    <w:rsid w:val="2D4F3143"/>
    <w:rsid w:val="2D6B17D6"/>
    <w:rsid w:val="2D71675E"/>
    <w:rsid w:val="2D751FC3"/>
    <w:rsid w:val="2D762C28"/>
    <w:rsid w:val="2D7F5249"/>
    <w:rsid w:val="2D80148C"/>
    <w:rsid w:val="2D801EBA"/>
    <w:rsid w:val="2DB04C1A"/>
    <w:rsid w:val="2DBB2BFF"/>
    <w:rsid w:val="2DC26799"/>
    <w:rsid w:val="2DC36DB6"/>
    <w:rsid w:val="2DC863F1"/>
    <w:rsid w:val="2DDA01A3"/>
    <w:rsid w:val="2DDC57E5"/>
    <w:rsid w:val="2DE93CAD"/>
    <w:rsid w:val="2DF86DEB"/>
    <w:rsid w:val="2DFB41DC"/>
    <w:rsid w:val="2E057238"/>
    <w:rsid w:val="2E10796D"/>
    <w:rsid w:val="2E350033"/>
    <w:rsid w:val="2E452B68"/>
    <w:rsid w:val="2E4A54F1"/>
    <w:rsid w:val="2E4D2F34"/>
    <w:rsid w:val="2E504F8D"/>
    <w:rsid w:val="2E5E765C"/>
    <w:rsid w:val="2E5F4D48"/>
    <w:rsid w:val="2E6D6806"/>
    <w:rsid w:val="2E6E7FCC"/>
    <w:rsid w:val="2E7A6BEB"/>
    <w:rsid w:val="2E875C45"/>
    <w:rsid w:val="2E8E066C"/>
    <w:rsid w:val="2E930D3B"/>
    <w:rsid w:val="2EA258B5"/>
    <w:rsid w:val="2EA26F00"/>
    <w:rsid w:val="2EAF5E7B"/>
    <w:rsid w:val="2EB72406"/>
    <w:rsid w:val="2EC308F5"/>
    <w:rsid w:val="2F0D6201"/>
    <w:rsid w:val="2F162AE7"/>
    <w:rsid w:val="2F182B66"/>
    <w:rsid w:val="2F191F9A"/>
    <w:rsid w:val="2F235ED5"/>
    <w:rsid w:val="2F2367DE"/>
    <w:rsid w:val="2F3869FC"/>
    <w:rsid w:val="2F462065"/>
    <w:rsid w:val="2F5E0685"/>
    <w:rsid w:val="2FB403C2"/>
    <w:rsid w:val="2FC566F7"/>
    <w:rsid w:val="2FD27D5B"/>
    <w:rsid w:val="2FDF41BB"/>
    <w:rsid w:val="2FE65B81"/>
    <w:rsid w:val="2FF6579D"/>
    <w:rsid w:val="2FF91044"/>
    <w:rsid w:val="301D45FB"/>
    <w:rsid w:val="3044350A"/>
    <w:rsid w:val="304960AA"/>
    <w:rsid w:val="30550A69"/>
    <w:rsid w:val="305B0F66"/>
    <w:rsid w:val="306B1D49"/>
    <w:rsid w:val="306E74D6"/>
    <w:rsid w:val="30790741"/>
    <w:rsid w:val="30801B4A"/>
    <w:rsid w:val="30851346"/>
    <w:rsid w:val="30861212"/>
    <w:rsid w:val="30905359"/>
    <w:rsid w:val="309E7BA0"/>
    <w:rsid w:val="30A67B97"/>
    <w:rsid w:val="30BF0947"/>
    <w:rsid w:val="30EB6FC4"/>
    <w:rsid w:val="30F12A17"/>
    <w:rsid w:val="30F61978"/>
    <w:rsid w:val="30F87666"/>
    <w:rsid w:val="30FB19DC"/>
    <w:rsid w:val="3107240D"/>
    <w:rsid w:val="310F34EE"/>
    <w:rsid w:val="31200F46"/>
    <w:rsid w:val="3121630F"/>
    <w:rsid w:val="31272421"/>
    <w:rsid w:val="3139107F"/>
    <w:rsid w:val="314365CE"/>
    <w:rsid w:val="314831A3"/>
    <w:rsid w:val="314B15D3"/>
    <w:rsid w:val="31507FC9"/>
    <w:rsid w:val="31531424"/>
    <w:rsid w:val="31542D3B"/>
    <w:rsid w:val="315503A1"/>
    <w:rsid w:val="315B4FDE"/>
    <w:rsid w:val="315B5130"/>
    <w:rsid w:val="315E3DF0"/>
    <w:rsid w:val="3166748C"/>
    <w:rsid w:val="316720A7"/>
    <w:rsid w:val="316F5618"/>
    <w:rsid w:val="31774A03"/>
    <w:rsid w:val="31833746"/>
    <w:rsid w:val="31900E67"/>
    <w:rsid w:val="319D0D8A"/>
    <w:rsid w:val="31B31F86"/>
    <w:rsid w:val="31BE6A0F"/>
    <w:rsid w:val="31E762D0"/>
    <w:rsid w:val="31EE0C0B"/>
    <w:rsid w:val="32013730"/>
    <w:rsid w:val="32184153"/>
    <w:rsid w:val="321A3EA9"/>
    <w:rsid w:val="32213F08"/>
    <w:rsid w:val="32232971"/>
    <w:rsid w:val="32303C08"/>
    <w:rsid w:val="3232325E"/>
    <w:rsid w:val="324516C9"/>
    <w:rsid w:val="324568C8"/>
    <w:rsid w:val="324F2751"/>
    <w:rsid w:val="326C7F04"/>
    <w:rsid w:val="326F620E"/>
    <w:rsid w:val="32727037"/>
    <w:rsid w:val="327A6DD0"/>
    <w:rsid w:val="32832752"/>
    <w:rsid w:val="32932EB7"/>
    <w:rsid w:val="329848AA"/>
    <w:rsid w:val="32AF0809"/>
    <w:rsid w:val="32BF5088"/>
    <w:rsid w:val="32DA0706"/>
    <w:rsid w:val="32FB2816"/>
    <w:rsid w:val="32FE23BF"/>
    <w:rsid w:val="330E6893"/>
    <w:rsid w:val="331847F5"/>
    <w:rsid w:val="33216186"/>
    <w:rsid w:val="33244DA0"/>
    <w:rsid w:val="333A2D5F"/>
    <w:rsid w:val="333F4C08"/>
    <w:rsid w:val="335A4695"/>
    <w:rsid w:val="335C6744"/>
    <w:rsid w:val="33663E5D"/>
    <w:rsid w:val="336B3089"/>
    <w:rsid w:val="33722AAC"/>
    <w:rsid w:val="337326FC"/>
    <w:rsid w:val="33735448"/>
    <w:rsid w:val="337E2043"/>
    <w:rsid w:val="337F2579"/>
    <w:rsid w:val="33A040E2"/>
    <w:rsid w:val="33A460D2"/>
    <w:rsid w:val="33BE08E5"/>
    <w:rsid w:val="33C43BAB"/>
    <w:rsid w:val="33CD29B3"/>
    <w:rsid w:val="33D0516E"/>
    <w:rsid w:val="33D737A8"/>
    <w:rsid w:val="33DE0CB9"/>
    <w:rsid w:val="33E115FD"/>
    <w:rsid w:val="33EC1A91"/>
    <w:rsid w:val="33EF314F"/>
    <w:rsid w:val="33FD7010"/>
    <w:rsid w:val="34032F5B"/>
    <w:rsid w:val="34035768"/>
    <w:rsid w:val="34054E1D"/>
    <w:rsid w:val="34111BB1"/>
    <w:rsid w:val="341461FF"/>
    <w:rsid w:val="342259B2"/>
    <w:rsid w:val="344A5FD4"/>
    <w:rsid w:val="344F7A97"/>
    <w:rsid w:val="3459194F"/>
    <w:rsid w:val="34680CAF"/>
    <w:rsid w:val="346A186D"/>
    <w:rsid w:val="347C15A5"/>
    <w:rsid w:val="3488479F"/>
    <w:rsid w:val="349207B0"/>
    <w:rsid w:val="34920804"/>
    <w:rsid w:val="34A276BD"/>
    <w:rsid w:val="34AB7E73"/>
    <w:rsid w:val="34AC3078"/>
    <w:rsid w:val="34B077CC"/>
    <w:rsid w:val="34B64DFE"/>
    <w:rsid w:val="34C473D5"/>
    <w:rsid w:val="34CC2CE0"/>
    <w:rsid w:val="34E42D93"/>
    <w:rsid w:val="34F47FB2"/>
    <w:rsid w:val="350A4715"/>
    <w:rsid w:val="3511129D"/>
    <w:rsid w:val="35222D50"/>
    <w:rsid w:val="35422FF9"/>
    <w:rsid w:val="35651C74"/>
    <w:rsid w:val="35684438"/>
    <w:rsid w:val="35742CCA"/>
    <w:rsid w:val="3584131C"/>
    <w:rsid w:val="35842D46"/>
    <w:rsid w:val="359455FE"/>
    <w:rsid w:val="35961EE8"/>
    <w:rsid w:val="35D14E02"/>
    <w:rsid w:val="35D26185"/>
    <w:rsid w:val="35DD1C61"/>
    <w:rsid w:val="35E37771"/>
    <w:rsid w:val="35E478FA"/>
    <w:rsid w:val="36091FD3"/>
    <w:rsid w:val="36136D75"/>
    <w:rsid w:val="36166281"/>
    <w:rsid w:val="361B5860"/>
    <w:rsid w:val="362D6F2F"/>
    <w:rsid w:val="36306AE5"/>
    <w:rsid w:val="3646221A"/>
    <w:rsid w:val="36562148"/>
    <w:rsid w:val="36656AEF"/>
    <w:rsid w:val="36693C14"/>
    <w:rsid w:val="366D4914"/>
    <w:rsid w:val="367D59B9"/>
    <w:rsid w:val="36820DE0"/>
    <w:rsid w:val="369B02D7"/>
    <w:rsid w:val="369C11A5"/>
    <w:rsid w:val="36B43102"/>
    <w:rsid w:val="36BE6AAF"/>
    <w:rsid w:val="36CD07B0"/>
    <w:rsid w:val="36CF2E22"/>
    <w:rsid w:val="36DD24D7"/>
    <w:rsid w:val="370259C6"/>
    <w:rsid w:val="371C47DC"/>
    <w:rsid w:val="372201DB"/>
    <w:rsid w:val="3727051C"/>
    <w:rsid w:val="3729297D"/>
    <w:rsid w:val="373242C4"/>
    <w:rsid w:val="37340EF6"/>
    <w:rsid w:val="373E20CB"/>
    <w:rsid w:val="373F3981"/>
    <w:rsid w:val="374C4A1E"/>
    <w:rsid w:val="375C57D7"/>
    <w:rsid w:val="377677D5"/>
    <w:rsid w:val="3789690E"/>
    <w:rsid w:val="37902E7E"/>
    <w:rsid w:val="37903F9F"/>
    <w:rsid w:val="37A71725"/>
    <w:rsid w:val="37BD6EED"/>
    <w:rsid w:val="37C021B2"/>
    <w:rsid w:val="37C1041D"/>
    <w:rsid w:val="37CF762D"/>
    <w:rsid w:val="37D3199B"/>
    <w:rsid w:val="37DD651E"/>
    <w:rsid w:val="37E5211B"/>
    <w:rsid w:val="37E61EE0"/>
    <w:rsid w:val="37EB7EB8"/>
    <w:rsid w:val="38032792"/>
    <w:rsid w:val="38154172"/>
    <w:rsid w:val="381A51F4"/>
    <w:rsid w:val="381F23D6"/>
    <w:rsid w:val="382775B6"/>
    <w:rsid w:val="382A6C05"/>
    <w:rsid w:val="382B1389"/>
    <w:rsid w:val="38346D96"/>
    <w:rsid w:val="38583691"/>
    <w:rsid w:val="386C5C36"/>
    <w:rsid w:val="38856A9F"/>
    <w:rsid w:val="38872242"/>
    <w:rsid w:val="38874B8B"/>
    <w:rsid w:val="38933B77"/>
    <w:rsid w:val="38A135C8"/>
    <w:rsid w:val="38BA113F"/>
    <w:rsid w:val="38C53249"/>
    <w:rsid w:val="38F95988"/>
    <w:rsid w:val="391732E6"/>
    <w:rsid w:val="39362F4F"/>
    <w:rsid w:val="39472D9C"/>
    <w:rsid w:val="394C3DB5"/>
    <w:rsid w:val="39507A0E"/>
    <w:rsid w:val="396555E0"/>
    <w:rsid w:val="397347DF"/>
    <w:rsid w:val="397412F8"/>
    <w:rsid w:val="399D13D8"/>
    <w:rsid w:val="39BB105A"/>
    <w:rsid w:val="39C43B42"/>
    <w:rsid w:val="39E93CE1"/>
    <w:rsid w:val="39ED0B9E"/>
    <w:rsid w:val="3A0D03DF"/>
    <w:rsid w:val="3A135075"/>
    <w:rsid w:val="3A1D1E35"/>
    <w:rsid w:val="3A45374D"/>
    <w:rsid w:val="3A4B33BF"/>
    <w:rsid w:val="3A7069EE"/>
    <w:rsid w:val="3A7A7CD1"/>
    <w:rsid w:val="3A8424B5"/>
    <w:rsid w:val="3A8B29D6"/>
    <w:rsid w:val="3A985B18"/>
    <w:rsid w:val="3A9A43F1"/>
    <w:rsid w:val="3AA12DFF"/>
    <w:rsid w:val="3AAF7A71"/>
    <w:rsid w:val="3AB31D0C"/>
    <w:rsid w:val="3AB9339F"/>
    <w:rsid w:val="3AC535FF"/>
    <w:rsid w:val="3AC8577E"/>
    <w:rsid w:val="3AE01CE4"/>
    <w:rsid w:val="3AE508FD"/>
    <w:rsid w:val="3AEC6515"/>
    <w:rsid w:val="3AEF1727"/>
    <w:rsid w:val="3AF0173E"/>
    <w:rsid w:val="3AF332F9"/>
    <w:rsid w:val="3B026B7D"/>
    <w:rsid w:val="3B084F6D"/>
    <w:rsid w:val="3B0E5515"/>
    <w:rsid w:val="3B325F58"/>
    <w:rsid w:val="3B380971"/>
    <w:rsid w:val="3B3E48C1"/>
    <w:rsid w:val="3B462ACF"/>
    <w:rsid w:val="3B4A3B53"/>
    <w:rsid w:val="3B4C57E7"/>
    <w:rsid w:val="3B4E4FF3"/>
    <w:rsid w:val="3B644096"/>
    <w:rsid w:val="3B7C14CE"/>
    <w:rsid w:val="3B7F79A0"/>
    <w:rsid w:val="3B861589"/>
    <w:rsid w:val="3B882B32"/>
    <w:rsid w:val="3BC17ED4"/>
    <w:rsid w:val="3BD034C7"/>
    <w:rsid w:val="3BDA3DBC"/>
    <w:rsid w:val="3BDE45E3"/>
    <w:rsid w:val="3BE72C9F"/>
    <w:rsid w:val="3C0268DC"/>
    <w:rsid w:val="3C0676DB"/>
    <w:rsid w:val="3C0836E4"/>
    <w:rsid w:val="3C166F83"/>
    <w:rsid w:val="3C254854"/>
    <w:rsid w:val="3C2635A1"/>
    <w:rsid w:val="3C2D3B81"/>
    <w:rsid w:val="3C2F4C37"/>
    <w:rsid w:val="3C2F71BE"/>
    <w:rsid w:val="3C591483"/>
    <w:rsid w:val="3C5B37E5"/>
    <w:rsid w:val="3C6D1D29"/>
    <w:rsid w:val="3C726B26"/>
    <w:rsid w:val="3C850DE3"/>
    <w:rsid w:val="3C8A658B"/>
    <w:rsid w:val="3C8B2F1A"/>
    <w:rsid w:val="3C923082"/>
    <w:rsid w:val="3C9A00E0"/>
    <w:rsid w:val="3CA13237"/>
    <w:rsid w:val="3CD33755"/>
    <w:rsid w:val="3CF61444"/>
    <w:rsid w:val="3CF769F7"/>
    <w:rsid w:val="3CFD2FD3"/>
    <w:rsid w:val="3D0354C7"/>
    <w:rsid w:val="3D066155"/>
    <w:rsid w:val="3D0B2155"/>
    <w:rsid w:val="3D0C75B6"/>
    <w:rsid w:val="3D15663F"/>
    <w:rsid w:val="3D214671"/>
    <w:rsid w:val="3D2E0C80"/>
    <w:rsid w:val="3D31610E"/>
    <w:rsid w:val="3D524E66"/>
    <w:rsid w:val="3D6C6095"/>
    <w:rsid w:val="3D6D132D"/>
    <w:rsid w:val="3D7359C7"/>
    <w:rsid w:val="3D7642C9"/>
    <w:rsid w:val="3D8D2ECD"/>
    <w:rsid w:val="3D923087"/>
    <w:rsid w:val="3D995A58"/>
    <w:rsid w:val="3D9D7DEB"/>
    <w:rsid w:val="3DA140FC"/>
    <w:rsid w:val="3DA7242D"/>
    <w:rsid w:val="3DB44584"/>
    <w:rsid w:val="3DC236A2"/>
    <w:rsid w:val="3DDA6D42"/>
    <w:rsid w:val="3DFA6BAD"/>
    <w:rsid w:val="3DFF13D1"/>
    <w:rsid w:val="3E055E2F"/>
    <w:rsid w:val="3E190112"/>
    <w:rsid w:val="3E32484C"/>
    <w:rsid w:val="3E3275DF"/>
    <w:rsid w:val="3E3A7708"/>
    <w:rsid w:val="3E3B108E"/>
    <w:rsid w:val="3E3E788C"/>
    <w:rsid w:val="3E644A3A"/>
    <w:rsid w:val="3E7347F4"/>
    <w:rsid w:val="3E746699"/>
    <w:rsid w:val="3E7B7886"/>
    <w:rsid w:val="3E837F1A"/>
    <w:rsid w:val="3E8A7629"/>
    <w:rsid w:val="3E911507"/>
    <w:rsid w:val="3E932D6B"/>
    <w:rsid w:val="3EA845F7"/>
    <w:rsid w:val="3EAD75E9"/>
    <w:rsid w:val="3EB47FDF"/>
    <w:rsid w:val="3EB73A3C"/>
    <w:rsid w:val="3EE04EC0"/>
    <w:rsid w:val="3EE7073F"/>
    <w:rsid w:val="3EF83C43"/>
    <w:rsid w:val="3F01664D"/>
    <w:rsid w:val="3F03359F"/>
    <w:rsid w:val="3F175FC8"/>
    <w:rsid w:val="3F177030"/>
    <w:rsid w:val="3F19164A"/>
    <w:rsid w:val="3F3C7687"/>
    <w:rsid w:val="3F410DC2"/>
    <w:rsid w:val="3F527F3B"/>
    <w:rsid w:val="3F5950F2"/>
    <w:rsid w:val="3F5B1444"/>
    <w:rsid w:val="3F5B729D"/>
    <w:rsid w:val="3F806C44"/>
    <w:rsid w:val="3F895ED3"/>
    <w:rsid w:val="3F962447"/>
    <w:rsid w:val="3FA7443B"/>
    <w:rsid w:val="3FC860DD"/>
    <w:rsid w:val="3FD010A5"/>
    <w:rsid w:val="3FD1687B"/>
    <w:rsid w:val="3FD26C28"/>
    <w:rsid w:val="3FD3260C"/>
    <w:rsid w:val="3FDA5ADC"/>
    <w:rsid w:val="3FEC4DDA"/>
    <w:rsid w:val="3FF22418"/>
    <w:rsid w:val="40031307"/>
    <w:rsid w:val="400754BC"/>
    <w:rsid w:val="401A5828"/>
    <w:rsid w:val="402327C5"/>
    <w:rsid w:val="40277A2D"/>
    <w:rsid w:val="402D5275"/>
    <w:rsid w:val="403059C0"/>
    <w:rsid w:val="405454FE"/>
    <w:rsid w:val="40596991"/>
    <w:rsid w:val="406714AB"/>
    <w:rsid w:val="407207DA"/>
    <w:rsid w:val="40727205"/>
    <w:rsid w:val="407868C4"/>
    <w:rsid w:val="40850DCD"/>
    <w:rsid w:val="408D0932"/>
    <w:rsid w:val="409250E0"/>
    <w:rsid w:val="4093403A"/>
    <w:rsid w:val="409B4078"/>
    <w:rsid w:val="40A62370"/>
    <w:rsid w:val="40E23F52"/>
    <w:rsid w:val="40EC6041"/>
    <w:rsid w:val="40F17C36"/>
    <w:rsid w:val="40F46C68"/>
    <w:rsid w:val="41095B04"/>
    <w:rsid w:val="410F4A78"/>
    <w:rsid w:val="41224ADA"/>
    <w:rsid w:val="41275C2E"/>
    <w:rsid w:val="41280054"/>
    <w:rsid w:val="412F54A5"/>
    <w:rsid w:val="413E2F28"/>
    <w:rsid w:val="41422C1C"/>
    <w:rsid w:val="41523F41"/>
    <w:rsid w:val="415A6E8A"/>
    <w:rsid w:val="416A53FD"/>
    <w:rsid w:val="417245B8"/>
    <w:rsid w:val="417368FE"/>
    <w:rsid w:val="417E7336"/>
    <w:rsid w:val="419532ED"/>
    <w:rsid w:val="4195539B"/>
    <w:rsid w:val="41AC1D9C"/>
    <w:rsid w:val="41BC3617"/>
    <w:rsid w:val="41DB71D5"/>
    <w:rsid w:val="41E81B19"/>
    <w:rsid w:val="41E94279"/>
    <w:rsid w:val="41EC7D93"/>
    <w:rsid w:val="42097FCB"/>
    <w:rsid w:val="420B6147"/>
    <w:rsid w:val="420F0D4B"/>
    <w:rsid w:val="42110B49"/>
    <w:rsid w:val="421B5B16"/>
    <w:rsid w:val="422C7AEF"/>
    <w:rsid w:val="42305C9F"/>
    <w:rsid w:val="423A312E"/>
    <w:rsid w:val="4242619A"/>
    <w:rsid w:val="42490603"/>
    <w:rsid w:val="424C1277"/>
    <w:rsid w:val="424F6EDD"/>
    <w:rsid w:val="426A4377"/>
    <w:rsid w:val="426D7290"/>
    <w:rsid w:val="426F23F4"/>
    <w:rsid w:val="4279512B"/>
    <w:rsid w:val="428528CF"/>
    <w:rsid w:val="428668EF"/>
    <w:rsid w:val="428A33E5"/>
    <w:rsid w:val="429B1171"/>
    <w:rsid w:val="429F1F41"/>
    <w:rsid w:val="42A8731A"/>
    <w:rsid w:val="42AC4952"/>
    <w:rsid w:val="42B20782"/>
    <w:rsid w:val="42B90421"/>
    <w:rsid w:val="42CC7E7D"/>
    <w:rsid w:val="42D75BB3"/>
    <w:rsid w:val="42DF035B"/>
    <w:rsid w:val="42E056CA"/>
    <w:rsid w:val="430A6BB3"/>
    <w:rsid w:val="431516B3"/>
    <w:rsid w:val="431C0081"/>
    <w:rsid w:val="433B18B4"/>
    <w:rsid w:val="43477606"/>
    <w:rsid w:val="43480904"/>
    <w:rsid w:val="434E05E4"/>
    <w:rsid w:val="43652C0B"/>
    <w:rsid w:val="43677FC6"/>
    <w:rsid w:val="437C6D22"/>
    <w:rsid w:val="438052B5"/>
    <w:rsid w:val="43840123"/>
    <w:rsid w:val="43891882"/>
    <w:rsid w:val="438B251D"/>
    <w:rsid w:val="43AB1CFD"/>
    <w:rsid w:val="43B33383"/>
    <w:rsid w:val="43BA4698"/>
    <w:rsid w:val="43BF0324"/>
    <w:rsid w:val="43C663FB"/>
    <w:rsid w:val="43CC4B66"/>
    <w:rsid w:val="43DA67F2"/>
    <w:rsid w:val="43DB6DF5"/>
    <w:rsid w:val="43DE6911"/>
    <w:rsid w:val="43ED4311"/>
    <w:rsid w:val="43F4117B"/>
    <w:rsid w:val="442C03B2"/>
    <w:rsid w:val="44477A41"/>
    <w:rsid w:val="445D193F"/>
    <w:rsid w:val="447177A7"/>
    <w:rsid w:val="448270B3"/>
    <w:rsid w:val="448E13D6"/>
    <w:rsid w:val="44917C93"/>
    <w:rsid w:val="44987F0C"/>
    <w:rsid w:val="449C7A16"/>
    <w:rsid w:val="44B021CE"/>
    <w:rsid w:val="44B75067"/>
    <w:rsid w:val="44E53E1C"/>
    <w:rsid w:val="44EA2C56"/>
    <w:rsid w:val="44F4322D"/>
    <w:rsid w:val="45074952"/>
    <w:rsid w:val="451B155A"/>
    <w:rsid w:val="452B0E6B"/>
    <w:rsid w:val="452C6B94"/>
    <w:rsid w:val="453B35B6"/>
    <w:rsid w:val="455E560C"/>
    <w:rsid w:val="458B13B6"/>
    <w:rsid w:val="458B4BC8"/>
    <w:rsid w:val="45BF4853"/>
    <w:rsid w:val="45C805E8"/>
    <w:rsid w:val="45D0122B"/>
    <w:rsid w:val="45D33B13"/>
    <w:rsid w:val="45D950ED"/>
    <w:rsid w:val="45E47200"/>
    <w:rsid w:val="45EB00B8"/>
    <w:rsid w:val="45FB5E48"/>
    <w:rsid w:val="46136785"/>
    <w:rsid w:val="462845ED"/>
    <w:rsid w:val="462E578F"/>
    <w:rsid w:val="46377070"/>
    <w:rsid w:val="464614C6"/>
    <w:rsid w:val="46487CC3"/>
    <w:rsid w:val="46497C19"/>
    <w:rsid w:val="464B612A"/>
    <w:rsid w:val="4652562B"/>
    <w:rsid w:val="4656637D"/>
    <w:rsid w:val="4662504B"/>
    <w:rsid w:val="466801C2"/>
    <w:rsid w:val="46784A02"/>
    <w:rsid w:val="468574E5"/>
    <w:rsid w:val="46916F35"/>
    <w:rsid w:val="46946605"/>
    <w:rsid w:val="46A1235C"/>
    <w:rsid w:val="46BB46A1"/>
    <w:rsid w:val="46D41E44"/>
    <w:rsid w:val="46DC7AB0"/>
    <w:rsid w:val="46EF6DDE"/>
    <w:rsid w:val="4703114D"/>
    <w:rsid w:val="470C5B5C"/>
    <w:rsid w:val="472A0D1B"/>
    <w:rsid w:val="472D41FA"/>
    <w:rsid w:val="472E0B4C"/>
    <w:rsid w:val="47326FC5"/>
    <w:rsid w:val="47360D49"/>
    <w:rsid w:val="47423964"/>
    <w:rsid w:val="4750513D"/>
    <w:rsid w:val="4750528A"/>
    <w:rsid w:val="47517A8D"/>
    <w:rsid w:val="47640BA9"/>
    <w:rsid w:val="47645B29"/>
    <w:rsid w:val="476F41C5"/>
    <w:rsid w:val="4779792E"/>
    <w:rsid w:val="477A4997"/>
    <w:rsid w:val="477C2213"/>
    <w:rsid w:val="477E133B"/>
    <w:rsid w:val="477F4A1B"/>
    <w:rsid w:val="479A09A1"/>
    <w:rsid w:val="47AE2F53"/>
    <w:rsid w:val="47C7570B"/>
    <w:rsid w:val="47C75D11"/>
    <w:rsid w:val="47D90B69"/>
    <w:rsid w:val="47D92E90"/>
    <w:rsid w:val="47DD2BC4"/>
    <w:rsid w:val="47EB394C"/>
    <w:rsid w:val="47EC19A7"/>
    <w:rsid w:val="47F70CA8"/>
    <w:rsid w:val="47F81791"/>
    <w:rsid w:val="47F91983"/>
    <w:rsid w:val="47FD2667"/>
    <w:rsid w:val="47FE5EBC"/>
    <w:rsid w:val="48103EB4"/>
    <w:rsid w:val="481B786B"/>
    <w:rsid w:val="48202D76"/>
    <w:rsid w:val="48276983"/>
    <w:rsid w:val="48290FA3"/>
    <w:rsid w:val="482F2F5E"/>
    <w:rsid w:val="484269A1"/>
    <w:rsid w:val="48563B1C"/>
    <w:rsid w:val="486B4A34"/>
    <w:rsid w:val="486E40D7"/>
    <w:rsid w:val="48702E0E"/>
    <w:rsid w:val="488A4398"/>
    <w:rsid w:val="48964A77"/>
    <w:rsid w:val="489D4999"/>
    <w:rsid w:val="48A1345F"/>
    <w:rsid w:val="48A13BEC"/>
    <w:rsid w:val="48A37AE9"/>
    <w:rsid w:val="48B44E93"/>
    <w:rsid w:val="48C2634C"/>
    <w:rsid w:val="48C52659"/>
    <w:rsid w:val="48CB12B7"/>
    <w:rsid w:val="48D85E3A"/>
    <w:rsid w:val="48EF2761"/>
    <w:rsid w:val="48FC5A2D"/>
    <w:rsid w:val="490C2EF2"/>
    <w:rsid w:val="490F0DC9"/>
    <w:rsid w:val="491273EE"/>
    <w:rsid w:val="49163E11"/>
    <w:rsid w:val="491A7AD8"/>
    <w:rsid w:val="49216A6A"/>
    <w:rsid w:val="4930420B"/>
    <w:rsid w:val="49433148"/>
    <w:rsid w:val="49502142"/>
    <w:rsid w:val="49507DAF"/>
    <w:rsid w:val="4957415F"/>
    <w:rsid w:val="495D5607"/>
    <w:rsid w:val="496938E0"/>
    <w:rsid w:val="496B37C1"/>
    <w:rsid w:val="497478C4"/>
    <w:rsid w:val="497F5F64"/>
    <w:rsid w:val="49882B35"/>
    <w:rsid w:val="49C26CA6"/>
    <w:rsid w:val="49C44B33"/>
    <w:rsid w:val="49FA725E"/>
    <w:rsid w:val="4A0321D1"/>
    <w:rsid w:val="4A2079DF"/>
    <w:rsid w:val="4A333556"/>
    <w:rsid w:val="4A3877DB"/>
    <w:rsid w:val="4A3A7CEE"/>
    <w:rsid w:val="4A406CC7"/>
    <w:rsid w:val="4A5578AA"/>
    <w:rsid w:val="4A595A9D"/>
    <w:rsid w:val="4A5B57AD"/>
    <w:rsid w:val="4A5C3A07"/>
    <w:rsid w:val="4A660002"/>
    <w:rsid w:val="4A6E062B"/>
    <w:rsid w:val="4A7C2A22"/>
    <w:rsid w:val="4A844D8B"/>
    <w:rsid w:val="4A961ACB"/>
    <w:rsid w:val="4AA35FA2"/>
    <w:rsid w:val="4AA9551A"/>
    <w:rsid w:val="4AC20090"/>
    <w:rsid w:val="4AC94DB8"/>
    <w:rsid w:val="4AE12699"/>
    <w:rsid w:val="4AEB761B"/>
    <w:rsid w:val="4AF107B2"/>
    <w:rsid w:val="4AFE0DE7"/>
    <w:rsid w:val="4B050FEE"/>
    <w:rsid w:val="4B104ABC"/>
    <w:rsid w:val="4B183D33"/>
    <w:rsid w:val="4B233881"/>
    <w:rsid w:val="4B255188"/>
    <w:rsid w:val="4B2E5E75"/>
    <w:rsid w:val="4B3872E6"/>
    <w:rsid w:val="4B3F42A6"/>
    <w:rsid w:val="4B546090"/>
    <w:rsid w:val="4B723D87"/>
    <w:rsid w:val="4B7F05B4"/>
    <w:rsid w:val="4B9B2826"/>
    <w:rsid w:val="4BB8593F"/>
    <w:rsid w:val="4BE11626"/>
    <w:rsid w:val="4BEB3960"/>
    <w:rsid w:val="4BF557E8"/>
    <w:rsid w:val="4C033D1B"/>
    <w:rsid w:val="4C074E1F"/>
    <w:rsid w:val="4C0A267A"/>
    <w:rsid w:val="4C140DFC"/>
    <w:rsid w:val="4C1D6E95"/>
    <w:rsid w:val="4C3E45A0"/>
    <w:rsid w:val="4C420909"/>
    <w:rsid w:val="4C5604A8"/>
    <w:rsid w:val="4C611F96"/>
    <w:rsid w:val="4C6B5D1C"/>
    <w:rsid w:val="4C6D0539"/>
    <w:rsid w:val="4C790349"/>
    <w:rsid w:val="4C7A074B"/>
    <w:rsid w:val="4C931F48"/>
    <w:rsid w:val="4C987828"/>
    <w:rsid w:val="4CA149AE"/>
    <w:rsid w:val="4CA46D79"/>
    <w:rsid w:val="4CB236B5"/>
    <w:rsid w:val="4CB5196B"/>
    <w:rsid w:val="4CB72E36"/>
    <w:rsid w:val="4CBD509D"/>
    <w:rsid w:val="4CD73DE7"/>
    <w:rsid w:val="4CEE468F"/>
    <w:rsid w:val="4CF35BFB"/>
    <w:rsid w:val="4CF42DDB"/>
    <w:rsid w:val="4D0111E2"/>
    <w:rsid w:val="4D044CC8"/>
    <w:rsid w:val="4D232532"/>
    <w:rsid w:val="4D2E4BC8"/>
    <w:rsid w:val="4D3741CF"/>
    <w:rsid w:val="4D4E5FF5"/>
    <w:rsid w:val="4D701575"/>
    <w:rsid w:val="4D7153FB"/>
    <w:rsid w:val="4D8F2F3D"/>
    <w:rsid w:val="4D926F9F"/>
    <w:rsid w:val="4DA111BA"/>
    <w:rsid w:val="4DB0348E"/>
    <w:rsid w:val="4DCE2458"/>
    <w:rsid w:val="4DD0406D"/>
    <w:rsid w:val="4DD126A1"/>
    <w:rsid w:val="4DD67AC7"/>
    <w:rsid w:val="4DDA046F"/>
    <w:rsid w:val="4DF51404"/>
    <w:rsid w:val="4DF63B45"/>
    <w:rsid w:val="4E030F92"/>
    <w:rsid w:val="4E0B3A72"/>
    <w:rsid w:val="4E193393"/>
    <w:rsid w:val="4E2A111E"/>
    <w:rsid w:val="4E42566F"/>
    <w:rsid w:val="4E453018"/>
    <w:rsid w:val="4E484D20"/>
    <w:rsid w:val="4E4A5E70"/>
    <w:rsid w:val="4E4C79C9"/>
    <w:rsid w:val="4E5633F4"/>
    <w:rsid w:val="4E662F17"/>
    <w:rsid w:val="4E7740D9"/>
    <w:rsid w:val="4E7D0DEF"/>
    <w:rsid w:val="4E7D733E"/>
    <w:rsid w:val="4E820F67"/>
    <w:rsid w:val="4E8F07DF"/>
    <w:rsid w:val="4EAC0AFF"/>
    <w:rsid w:val="4EC2021D"/>
    <w:rsid w:val="4ED562BB"/>
    <w:rsid w:val="4F001CA3"/>
    <w:rsid w:val="4F0606EF"/>
    <w:rsid w:val="4F277D72"/>
    <w:rsid w:val="4F312CCF"/>
    <w:rsid w:val="4F366883"/>
    <w:rsid w:val="4F4B286F"/>
    <w:rsid w:val="4F585B64"/>
    <w:rsid w:val="4F8808F5"/>
    <w:rsid w:val="4F947C1A"/>
    <w:rsid w:val="4F9734BF"/>
    <w:rsid w:val="4FA20095"/>
    <w:rsid w:val="4FA56B00"/>
    <w:rsid w:val="4FAC2061"/>
    <w:rsid w:val="4FB84C4F"/>
    <w:rsid w:val="4FC36740"/>
    <w:rsid w:val="4FE85665"/>
    <w:rsid w:val="4FE9719D"/>
    <w:rsid w:val="50036E2B"/>
    <w:rsid w:val="500D3920"/>
    <w:rsid w:val="501B7D86"/>
    <w:rsid w:val="50314CA0"/>
    <w:rsid w:val="50357BEC"/>
    <w:rsid w:val="503A525F"/>
    <w:rsid w:val="50510E8E"/>
    <w:rsid w:val="50537BC7"/>
    <w:rsid w:val="506012E8"/>
    <w:rsid w:val="50634020"/>
    <w:rsid w:val="50683BBA"/>
    <w:rsid w:val="50715486"/>
    <w:rsid w:val="50787FA2"/>
    <w:rsid w:val="50795816"/>
    <w:rsid w:val="50990902"/>
    <w:rsid w:val="509A2D0B"/>
    <w:rsid w:val="50A26444"/>
    <w:rsid w:val="50CA1072"/>
    <w:rsid w:val="50D61DDA"/>
    <w:rsid w:val="50E72A82"/>
    <w:rsid w:val="50F23D51"/>
    <w:rsid w:val="50FB725F"/>
    <w:rsid w:val="50FD13B2"/>
    <w:rsid w:val="51170A4D"/>
    <w:rsid w:val="512441B2"/>
    <w:rsid w:val="51282D4D"/>
    <w:rsid w:val="512B6FDF"/>
    <w:rsid w:val="51327881"/>
    <w:rsid w:val="51350D4E"/>
    <w:rsid w:val="51365174"/>
    <w:rsid w:val="51433456"/>
    <w:rsid w:val="514679D7"/>
    <w:rsid w:val="51621F4B"/>
    <w:rsid w:val="51772086"/>
    <w:rsid w:val="5177693C"/>
    <w:rsid w:val="5179397E"/>
    <w:rsid w:val="5194382F"/>
    <w:rsid w:val="519A4335"/>
    <w:rsid w:val="519D479D"/>
    <w:rsid w:val="51BD203B"/>
    <w:rsid w:val="51C05CD4"/>
    <w:rsid w:val="51D2449F"/>
    <w:rsid w:val="51E36A19"/>
    <w:rsid w:val="51EA58DB"/>
    <w:rsid w:val="51F56DFD"/>
    <w:rsid w:val="52077EE5"/>
    <w:rsid w:val="521B4163"/>
    <w:rsid w:val="5230544E"/>
    <w:rsid w:val="5246628D"/>
    <w:rsid w:val="524E1B22"/>
    <w:rsid w:val="52554011"/>
    <w:rsid w:val="5257750D"/>
    <w:rsid w:val="525C0A1C"/>
    <w:rsid w:val="5268561B"/>
    <w:rsid w:val="526C7FFE"/>
    <w:rsid w:val="527318DD"/>
    <w:rsid w:val="52741050"/>
    <w:rsid w:val="52810233"/>
    <w:rsid w:val="52857D7C"/>
    <w:rsid w:val="52A00C76"/>
    <w:rsid w:val="52B56E55"/>
    <w:rsid w:val="52C93287"/>
    <w:rsid w:val="52D9178A"/>
    <w:rsid w:val="52DB074C"/>
    <w:rsid w:val="52E21F98"/>
    <w:rsid w:val="52F16F39"/>
    <w:rsid w:val="52FE30BB"/>
    <w:rsid w:val="531C42AB"/>
    <w:rsid w:val="53294031"/>
    <w:rsid w:val="533F45CA"/>
    <w:rsid w:val="5356206E"/>
    <w:rsid w:val="535C42AB"/>
    <w:rsid w:val="536E79E7"/>
    <w:rsid w:val="53707397"/>
    <w:rsid w:val="5375123D"/>
    <w:rsid w:val="53772818"/>
    <w:rsid w:val="5395369D"/>
    <w:rsid w:val="53B40F01"/>
    <w:rsid w:val="53DD0633"/>
    <w:rsid w:val="53E23A01"/>
    <w:rsid w:val="53F313A1"/>
    <w:rsid w:val="53F944FF"/>
    <w:rsid w:val="54073936"/>
    <w:rsid w:val="54207E6C"/>
    <w:rsid w:val="5433207D"/>
    <w:rsid w:val="54376D27"/>
    <w:rsid w:val="54614B31"/>
    <w:rsid w:val="547873EA"/>
    <w:rsid w:val="5495063E"/>
    <w:rsid w:val="54A337EA"/>
    <w:rsid w:val="54AD10F3"/>
    <w:rsid w:val="54AF0555"/>
    <w:rsid w:val="54B40D35"/>
    <w:rsid w:val="54B41752"/>
    <w:rsid w:val="54CE2507"/>
    <w:rsid w:val="54D03F59"/>
    <w:rsid w:val="54D340A4"/>
    <w:rsid w:val="54DA1F78"/>
    <w:rsid w:val="54E77C47"/>
    <w:rsid w:val="54F93598"/>
    <w:rsid w:val="550E57AA"/>
    <w:rsid w:val="55181CD2"/>
    <w:rsid w:val="551E6E30"/>
    <w:rsid w:val="55282FAE"/>
    <w:rsid w:val="55284937"/>
    <w:rsid w:val="553D6E34"/>
    <w:rsid w:val="55411A5E"/>
    <w:rsid w:val="55414234"/>
    <w:rsid w:val="55474BFE"/>
    <w:rsid w:val="555A5267"/>
    <w:rsid w:val="555A759A"/>
    <w:rsid w:val="557837FF"/>
    <w:rsid w:val="5580511D"/>
    <w:rsid w:val="559E228A"/>
    <w:rsid w:val="55A14894"/>
    <w:rsid w:val="55A65C97"/>
    <w:rsid w:val="55BB65AB"/>
    <w:rsid w:val="55C22AC4"/>
    <w:rsid w:val="55D01D97"/>
    <w:rsid w:val="55D2124B"/>
    <w:rsid w:val="55E9733B"/>
    <w:rsid w:val="55FC541D"/>
    <w:rsid w:val="56284CFB"/>
    <w:rsid w:val="56311EFB"/>
    <w:rsid w:val="56355706"/>
    <w:rsid w:val="564F6F6C"/>
    <w:rsid w:val="56533C41"/>
    <w:rsid w:val="565A10AE"/>
    <w:rsid w:val="56745085"/>
    <w:rsid w:val="5675380A"/>
    <w:rsid w:val="56870FD0"/>
    <w:rsid w:val="56A37ED2"/>
    <w:rsid w:val="56B13CF3"/>
    <w:rsid w:val="56BB41C1"/>
    <w:rsid w:val="56CF7CF1"/>
    <w:rsid w:val="56D951D8"/>
    <w:rsid w:val="56FB29C0"/>
    <w:rsid w:val="5705074C"/>
    <w:rsid w:val="57072FD6"/>
    <w:rsid w:val="570C03A9"/>
    <w:rsid w:val="571628FA"/>
    <w:rsid w:val="572042AB"/>
    <w:rsid w:val="57244B18"/>
    <w:rsid w:val="57292DC2"/>
    <w:rsid w:val="57323D7B"/>
    <w:rsid w:val="573766C8"/>
    <w:rsid w:val="573F217F"/>
    <w:rsid w:val="57775C20"/>
    <w:rsid w:val="577A519D"/>
    <w:rsid w:val="579345B0"/>
    <w:rsid w:val="57950A79"/>
    <w:rsid w:val="57992E71"/>
    <w:rsid w:val="57AF22A3"/>
    <w:rsid w:val="57DE2AA9"/>
    <w:rsid w:val="57E27050"/>
    <w:rsid w:val="57E34BFB"/>
    <w:rsid w:val="57E51C80"/>
    <w:rsid w:val="57E553DC"/>
    <w:rsid w:val="57EF6871"/>
    <w:rsid w:val="57F52903"/>
    <w:rsid w:val="58013EC0"/>
    <w:rsid w:val="5806770C"/>
    <w:rsid w:val="581707BE"/>
    <w:rsid w:val="581E5646"/>
    <w:rsid w:val="581F42ED"/>
    <w:rsid w:val="58202534"/>
    <w:rsid w:val="58235FFE"/>
    <w:rsid w:val="58240039"/>
    <w:rsid w:val="58256235"/>
    <w:rsid w:val="5828231D"/>
    <w:rsid w:val="582F5FB6"/>
    <w:rsid w:val="583D7576"/>
    <w:rsid w:val="58446A9A"/>
    <w:rsid w:val="58457702"/>
    <w:rsid w:val="58577300"/>
    <w:rsid w:val="586462F7"/>
    <w:rsid w:val="5877237F"/>
    <w:rsid w:val="58A9764A"/>
    <w:rsid w:val="58B337A1"/>
    <w:rsid w:val="58B82186"/>
    <w:rsid w:val="58CF78BD"/>
    <w:rsid w:val="58D77A53"/>
    <w:rsid w:val="58DE4F52"/>
    <w:rsid w:val="58DF5124"/>
    <w:rsid w:val="58E87853"/>
    <w:rsid w:val="58FB0C0D"/>
    <w:rsid w:val="593D5C9D"/>
    <w:rsid w:val="594364C1"/>
    <w:rsid w:val="595A121E"/>
    <w:rsid w:val="59603286"/>
    <w:rsid w:val="597641CE"/>
    <w:rsid w:val="598254F6"/>
    <w:rsid w:val="599C37A9"/>
    <w:rsid w:val="599D777F"/>
    <w:rsid w:val="59A40CE6"/>
    <w:rsid w:val="59C75644"/>
    <w:rsid w:val="59E25E43"/>
    <w:rsid w:val="59E47AB8"/>
    <w:rsid w:val="59E973F0"/>
    <w:rsid w:val="5A163EBC"/>
    <w:rsid w:val="5A245B42"/>
    <w:rsid w:val="5A2C0D01"/>
    <w:rsid w:val="5A307AB0"/>
    <w:rsid w:val="5A380FBE"/>
    <w:rsid w:val="5A3B3DEE"/>
    <w:rsid w:val="5A4A5FC3"/>
    <w:rsid w:val="5A5B3196"/>
    <w:rsid w:val="5A644831"/>
    <w:rsid w:val="5A6E6F59"/>
    <w:rsid w:val="5A8471FE"/>
    <w:rsid w:val="5A8D7547"/>
    <w:rsid w:val="5AAC3265"/>
    <w:rsid w:val="5AB0337A"/>
    <w:rsid w:val="5AB30690"/>
    <w:rsid w:val="5AB45D5E"/>
    <w:rsid w:val="5ABF2F6E"/>
    <w:rsid w:val="5AD8678D"/>
    <w:rsid w:val="5AE252AD"/>
    <w:rsid w:val="5AE5484F"/>
    <w:rsid w:val="5AEB766A"/>
    <w:rsid w:val="5AEE7C4A"/>
    <w:rsid w:val="5AF07FF7"/>
    <w:rsid w:val="5AF422E5"/>
    <w:rsid w:val="5B1C7D59"/>
    <w:rsid w:val="5B3F7346"/>
    <w:rsid w:val="5B454CEE"/>
    <w:rsid w:val="5B4842FE"/>
    <w:rsid w:val="5B512B1F"/>
    <w:rsid w:val="5B5B451C"/>
    <w:rsid w:val="5B6F1C7E"/>
    <w:rsid w:val="5B820AE5"/>
    <w:rsid w:val="5B94646D"/>
    <w:rsid w:val="5BAC0F8F"/>
    <w:rsid w:val="5BF243F2"/>
    <w:rsid w:val="5BF26431"/>
    <w:rsid w:val="5C006D9C"/>
    <w:rsid w:val="5C01190A"/>
    <w:rsid w:val="5C182521"/>
    <w:rsid w:val="5C185446"/>
    <w:rsid w:val="5C1B49BC"/>
    <w:rsid w:val="5C1C7139"/>
    <w:rsid w:val="5C2909BC"/>
    <w:rsid w:val="5C3B6606"/>
    <w:rsid w:val="5C427345"/>
    <w:rsid w:val="5C451528"/>
    <w:rsid w:val="5C517094"/>
    <w:rsid w:val="5C5D7555"/>
    <w:rsid w:val="5C5F1B9C"/>
    <w:rsid w:val="5C656DF5"/>
    <w:rsid w:val="5C6D4EE2"/>
    <w:rsid w:val="5C6E4B0C"/>
    <w:rsid w:val="5C7A18C2"/>
    <w:rsid w:val="5C872D3A"/>
    <w:rsid w:val="5C8D0454"/>
    <w:rsid w:val="5C96449C"/>
    <w:rsid w:val="5CA97097"/>
    <w:rsid w:val="5CB56A67"/>
    <w:rsid w:val="5CF0088E"/>
    <w:rsid w:val="5CF2197F"/>
    <w:rsid w:val="5CF60B78"/>
    <w:rsid w:val="5CF7652F"/>
    <w:rsid w:val="5D0204DB"/>
    <w:rsid w:val="5D0872F6"/>
    <w:rsid w:val="5D1076D6"/>
    <w:rsid w:val="5D1A7B53"/>
    <w:rsid w:val="5D205D02"/>
    <w:rsid w:val="5D443734"/>
    <w:rsid w:val="5D4E2939"/>
    <w:rsid w:val="5D573AAA"/>
    <w:rsid w:val="5D62662C"/>
    <w:rsid w:val="5D6E5A44"/>
    <w:rsid w:val="5D716320"/>
    <w:rsid w:val="5D7D3DC2"/>
    <w:rsid w:val="5D7D494D"/>
    <w:rsid w:val="5D880470"/>
    <w:rsid w:val="5D901E85"/>
    <w:rsid w:val="5D9540D0"/>
    <w:rsid w:val="5DCE71C0"/>
    <w:rsid w:val="5DD2327D"/>
    <w:rsid w:val="5DD63FF3"/>
    <w:rsid w:val="5DDC4ED7"/>
    <w:rsid w:val="5DE1243F"/>
    <w:rsid w:val="5DEC2997"/>
    <w:rsid w:val="5DFB1C17"/>
    <w:rsid w:val="5DFC038B"/>
    <w:rsid w:val="5E014018"/>
    <w:rsid w:val="5E1D4229"/>
    <w:rsid w:val="5E2E5C16"/>
    <w:rsid w:val="5E486097"/>
    <w:rsid w:val="5E4A7096"/>
    <w:rsid w:val="5E51574E"/>
    <w:rsid w:val="5E5559F9"/>
    <w:rsid w:val="5E686749"/>
    <w:rsid w:val="5E6B7E83"/>
    <w:rsid w:val="5E780DEA"/>
    <w:rsid w:val="5E7B7D5D"/>
    <w:rsid w:val="5E813BB2"/>
    <w:rsid w:val="5EA21DBF"/>
    <w:rsid w:val="5EAA08D3"/>
    <w:rsid w:val="5EAF0264"/>
    <w:rsid w:val="5EAF2B32"/>
    <w:rsid w:val="5EB136B4"/>
    <w:rsid w:val="5EB64EB2"/>
    <w:rsid w:val="5EC016AB"/>
    <w:rsid w:val="5ED07821"/>
    <w:rsid w:val="5EDF0BC7"/>
    <w:rsid w:val="5EE31366"/>
    <w:rsid w:val="5EEE64B0"/>
    <w:rsid w:val="5EFF674C"/>
    <w:rsid w:val="5F0B3B16"/>
    <w:rsid w:val="5F183785"/>
    <w:rsid w:val="5F3723C8"/>
    <w:rsid w:val="5F4F5E92"/>
    <w:rsid w:val="5F631FA8"/>
    <w:rsid w:val="5F7139F5"/>
    <w:rsid w:val="5F7961A0"/>
    <w:rsid w:val="5F810B98"/>
    <w:rsid w:val="5F89243E"/>
    <w:rsid w:val="5F90118D"/>
    <w:rsid w:val="5F905B2A"/>
    <w:rsid w:val="5F9962EE"/>
    <w:rsid w:val="5FBA1B71"/>
    <w:rsid w:val="5FBA2FC2"/>
    <w:rsid w:val="5FC36299"/>
    <w:rsid w:val="5FCB431E"/>
    <w:rsid w:val="5FCC71D5"/>
    <w:rsid w:val="5FD40908"/>
    <w:rsid w:val="5FD6781B"/>
    <w:rsid w:val="5FDF77E5"/>
    <w:rsid w:val="5FE75659"/>
    <w:rsid w:val="5FF765B1"/>
    <w:rsid w:val="5FF825B4"/>
    <w:rsid w:val="60134AC9"/>
    <w:rsid w:val="60156312"/>
    <w:rsid w:val="601F2735"/>
    <w:rsid w:val="602A03BC"/>
    <w:rsid w:val="60365707"/>
    <w:rsid w:val="6038515D"/>
    <w:rsid w:val="6056347B"/>
    <w:rsid w:val="605724BE"/>
    <w:rsid w:val="60685467"/>
    <w:rsid w:val="6069422E"/>
    <w:rsid w:val="60843483"/>
    <w:rsid w:val="608C0E4B"/>
    <w:rsid w:val="609304D5"/>
    <w:rsid w:val="60A139DE"/>
    <w:rsid w:val="60A15F12"/>
    <w:rsid w:val="60AB5BFA"/>
    <w:rsid w:val="60B92CF6"/>
    <w:rsid w:val="60D125C7"/>
    <w:rsid w:val="60E17C55"/>
    <w:rsid w:val="60E72786"/>
    <w:rsid w:val="61195BE0"/>
    <w:rsid w:val="611E2645"/>
    <w:rsid w:val="612554E0"/>
    <w:rsid w:val="614E3B62"/>
    <w:rsid w:val="61593E4D"/>
    <w:rsid w:val="61597632"/>
    <w:rsid w:val="61631251"/>
    <w:rsid w:val="618064C2"/>
    <w:rsid w:val="61861592"/>
    <w:rsid w:val="61887CEC"/>
    <w:rsid w:val="618A6324"/>
    <w:rsid w:val="61933550"/>
    <w:rsid w:val="61943B9E"/>
    <w:rsid w:val="61985B44"/>
    <w:rsid w:val="61B15EC2"/>
    <w:rsid w:val="61B72968"/>
    <w:rsid w:val="61B9105B"/>
    <w:rsid w:val="61BA037E"/>
    <w:rsid w:val="61BA238C"/>
    <w:rsid w:val="61C97A13"/>
    <w:rsid w:val="61CE319D"/>
    <w:rsid w:val="61EE48D8"/>
    <w:rsid w:val="61FD384E"/>
    <w:rsid w:val="61FE43AD"/>
    <w:rsid w:val="62195EF2"/>
    <w:rsid w:val="622B2C35"/>
    <w:rsid w:val="623709A0"/>
    <w:rsid w:val="623757CE"/>
    <w:rsid w:val="623954E2"/>
    <w:rsid w:val="624A345B"/>
    <w:rsid w:val="62502664"/>
    <w:rsid w:val="626508B3"/>
    <w:rsid w:val="626804E4"/>
    <w:rsid w:val="62905276"/>
    <w:rsid w:val="62985A96"/>
    <w:rsid w:val="629A1363"/>
    <w:rsid w:val="62B66B44"/>
    <w:rsid w:val="62B92C9E"/>
    <w:rsid w:val="62E155D8"/>
    <w:rsid w:val="63080568"/>
    <w:rsid w:val="630D4F56"/>
    <w:rsid w:val="63173843"/>
    <w:rsid w:val="632D4567"/>
    <w:rsid w:val="63481D6E"/>
    <w:rsid w:val="635F1FDF"/>
    <w:rsid w:val="6377154E"/>
    <w:rsid w:val="63787C23"/>
    <w:rsid w:val="63980816"/>
    <w:rsid w:val="63981D4D"/>
    <w:rsid w:val="63AC685F"/>
    <w:rsid w:val="63BC305C"/>
    <w:rsid w:val="63C0475B"/>
    <w:rsid w:val="63D22DFA"/>
    <w:rsid w:val="63DD6491"/>
    <w:rsid w:val="63E52565"/>
    <w:rsid w:val="63EB5DBF"/>
    <w:rsid w:val="63F70E53"/>
    <w:rsid w:val="63FD0D99"/>
    <w:rsid w:val="64041E7F"/>
    <w:rsid w:val="640444B8"/>
    <w:rsid w:val="64064637"/>
    <w:rsid w:val="642C4A2F"/>
    <w:rsid w:val="6468579E"/>
    <w:rsid w:val="648434BF"/>
    <w:rsid w:val="64A64D06"/>
    <w:rsid w:val="64A83DA6"/>
    <w:rsid w:val="64AE3F9E"/>
    <w:rsid w:val="64B31FD3"/>
    <w:rsid w:val="64B60595"/>
    <w:rsid w:val="64BF14E0"/>
    <w:rsid w:val="64C1285B"/>
    <w:rsid w:val="64CB4B31"/>
    <w:rsid w:val="64D87D36"/>
    <w:rsid w:val="64E67C56"/>
    <w:rsid w:val="64E93FDC"/>
    <w:rsid w:val="65035F14"/>
    <w:rsid w:val="65053BE3"/>
    <w:rsid w:val="65107D7E"/>
    <w:rsid w:val="652D5E7F"/>
    <w:rsid w:val="65353DC2"/>
    <w:rsid w:val="65393484"/>
    <w:rsid w:val="65507243"/>
    <w:rsid w:val="656027FF"/>
    <w:rsid w:val="6561645B"/>
    <w:rsid w:val="656D5565"/>
    <w:rsid w:val="657B7864"/>
    <w:rsid w:val="659520D8"/>
    <w:rsid w:val="65990D64"/>
    <w:rsid w:val="65C753D5"/>
    <w:rsid w:val="660A16ED"/>
    <w:rsid w:val="660D1534"/>
    <w:rsid w:val="66127C1F"/>
    <w:rsid w:val="66210939"/>
    <w:rsid w:val="662C0A09"/>
    <w:rsid w:val="662D72B1"/>
    <w:rsid w:val="66412CCB"/>
    <w:rsid w:val="66457E51"/>
    <w:rsid w:val="666B6759"/>
    <w:rsid w:val="66722226"/>
    <w:rsid w:val="6680376E"/>
    <w:rsid w:val="66824F18"/>
    <w:rsid w:val="6687159A"/>
    <w:rsid w:val="66884615"/>
    <w:rsid w:val="668F12D1"/>
    <w:rsid w:val="66CF747F"/>
    <w:rsid w:val="66DD4FD8"/>
    <w:rsid w:val="66ED31EA"/>
    <w:rsid w:val="66F576DC"/>
    <w:rsid w:val="670B25E5"/>
    <w:rsid w:val="6711714A"/>
    <w:rsid w:val="67151733"/>
    <w:rsid w:val="671B3344"/>
    <w:rsid w:val="67294A44"/>
    <w:rsid w:val="67571370"/>
    <w:rsid w:val="675D34B2"/>
    <w:rsid w:val="676B22DA"/>
    <w:rsid w:val="676E1F52"/>
    <w:rsid w:val="67744CC3"/>
    <w:rsid w:val="67767595"/>
    <w:rsid w:val="67811B9D"/>
    <w:rsid w:val="67864A7F"/>
    <w:rsid w:val="678D3D40"/>
    <w:rsid w:val="679E729D"/>
    <w:rsid w:val="67AA042D"/>
    <w:rsid w:val="67B528AB"/>
    <w:rsid w:val="67B81B8B"/>
    <w:rsid w:val="67D13F01"/>
    <w:rsid w:val="67D158DF"/>
    <w:rsid w:val="67DE58B9"/>
    <w:rsid w:val="67EA1F83"/>
    <w:rsid w:val="67F75E8E"/>
    <w:rsid w:val="6804167F"/>
    <w:rsid w:val="68180E90"/>
    <w:rsid w:val="681D398A"/>
    <w:rsid w:val="68293C00"/>
    <w:rsid w:val="682E0D14"/>
    <w:rsid w:val="68371151"/>
    <w:rsid w:val="68396777"/>
    <w:rsid w:val="683C6F05"/>
    <w:rsid w:val="683D2AF3"/>
    <w:rsid w:val="68557F43"/>
    <w:rsid w:val="68573192"/>
    <w:rsid w:val="68651937"/>
    <w:rsid w:val="68660645"/>
    <w:rsid w:val="686A02AF"/>
    <w:rsid w:val="686B21BB"/>
    <w:rsid w:val="68845081"/>
    <w:rsid w:val="68856BDF"/>
    <w:rsid w:val="68865356"/>
    <w:rsid w:val="68A74D7F"/>
    <w:rsid w:val="68BC349D"/>
    <w:rsid w:val="68BF606E"/>
    <w:rsid w:val="68C35914"/>
    <w:rsid w:val="68D00E9D"/>
    <w:rsid w:val="68E32417"/>
    <w:rsid w:val="68E34B21"/>
    <w:rsid w:val="68F25BF7"/>
    <w:rsid w:val="691867A1"/>
    <w:rsid w:val="691A3243"/>
    <w:rsid w:val="691B09FE"/>
    <w:rsid w:val="69221EE6"/>
    <w:rsid w:val="69530378"/>
    <w:rsid w:val="69603AB5"/>
    <w:rsid w:val="69672B80"/>
    <w:rsid w:val="69696E4E"/>
    <w:rsid w:val="696B0469"/>
    <w:rsid w:val="696C42BB"/>
    <w:rsid w:val="69743A59"/>
    <w:rsid w:val="697A3A8B"/>
    <w:rsid w:val="698A6B0F"/>
    <w:rsid w:val="69937707"/>
    <w:rsid w:val="69CC14E2"/>
    <w:rsid w:val="69CD6393"/>
    <w:rsid w:val="69DF5B42"/>
    <w:rsid w:val="69EC4C9C"/>
    <w:rsid w:val="69F1784C"/>
    <w:rsid w:val="69FD30F4"/>
    <w:rsid w:val="6A085BC1"/>
    <w:rsid w:val="6A1C280B"/>
    <w:rsid w:val="6A1F7A9F"/>
    <w:rsid w:val="6A20638D"/>
    <w:rsid w:val="6A28131D"/>
    <w:rsid w:val="6A30542B"/>
    <w:rsid w:val="6A38427B"/>
    <w:rsid w:val="6A3B4F10"/>
    <w:rsid w:val="6A3C0493"/>
    <w:rsid w:val="6A5D2C53"/>
    <w:rsid w:val="6A6A615F"/>
    <w:rsid w:val="6A782EAA"/>
    <w:rsid w:val="6A7D12F1"/>
    <w:rsid w:val="6A841983"/>
    <w:rsid w:val="6A8D51AE"/>
    <w:rsid w:val="6A8E7E0A"/>
    <w:rsid w:val="6A9076D0"/>
    <w:rsid w:val="6A9E377B"/>
    <w:rsid w:val="6AB40A82"/>
    <w:rsid w:val="6AD3150D"/>
    <w:rsid w:val="6ADA5A39"/>
    <w:rsid w:val="6AE005C3"/>
    <w:rsid w:val="6AFB0FD9"/>
    <w:rsid w:val="6B04148D"/>
    <w:rsid w:val="6B0B101A"/>
    <w:rsid w:val="6B266D48"/>
    <w:rsid w:val="6B36306B"/>
    <w:rsid w:val="6B395122"/>
    <w:rsid w:val="6B40164D"/>
    <w:rsid w:val="6B42434B"/>
    <w:rsid w:val="6B435052"/>
    <w:rsid w:val="6B5C5A85"/>
    <w:rsid w:val="6B5F24B5"/>
    <w:rsid w:val="6B704279"/>
    <w:rsid w:val="6B706FE3"/>
    <w:rsid w:val="6B7128C0"/>
    <w:rsid w:val="6B7A07C7"/>
    <w:rsid w:val="6BAE481D"/>
    <w:rsid w:val="6BC21694"/>
    <w:rsid w:val="6BC345AE"/>
    <w:rsid w:val="6BE21573"/>
    <w:rsid w:val="6BE82C6E"/>
    <w:rsid w:val="6BEA320E"/>
    <w:rsid w:val="6BEA4DCC"/>
    <w:rsid w:val="6BEC58FB"/>
    <w:rsid w:val="6C002909"/>
    <w:rsid w:val="6C031F23"/>
    <w:rsid w:val="6C085613"/>
    <w:rsid w:val="6C107049"/>
    <w:rsid w:val="6C1F2F9A"/>
    <w:rsid w:val="6C322155"/>
    <w:rsid w:val="6C325C58"/>
    <w:rsid w:val="6C380203"/>
    <w:rsid w:val="6C4A0950"/>
    <w:rsid w:val="6C542BDF"/>
    <w:rsid w:val="6C5C6338"/>
    <w:rsid w:val="6C667711"/>
    <w:rsid w:val="6C6E489D"/>
    <w:rsid w:val="6C716CED"/>
    <w:rsid w:val="6C753CB1"/>
    <w:rsid w:val="6C79584D"/>
    <w:rsid w:val="6CAC6BA0"/>
    <w:rsid w:val="6CB83211"/>
    <w:rsid w:val="6CCE6CA5"/>
    <w:rsid w:val="6CD9055B"/>
    <w:rsid w:val="6CDB746B"/>
    <w:rsid w:val="6CE9767D"/>
    <w:rsid w:val="6CEE66F1"/>
    <w:rsid w:val="6CF27EB8"/>
    <w:rsid w:val="6CF9046F"/>
    <w:rsid w:val="6CFA36E4"/>
    <w:rsid w:val="6D020EA1"/>
    <w:rsid w:val="6D0E0B72"/>
    <w:rsid w:val="6D151FBA"/>
    <w:rsid w:val="6D25675A"/>
    <w:rsid w:val="6D2B0C97"/>
    <w:rsid w:val="6D374915"/>
    <w:rsid w:val="6D4A3B5E"/>
    <w:rsid w:val="6D5917F9"/>
    <w:rsid w:val="6D5B6605"/>
    <w:rsid w:val="6D5C708D"/>
    <w:rsid w:val="6D652E11"/>
    <w:rsid w:val="6D743D46"/>
    <w:rsid w:val="6D777815"/>
    <w:rsid w:val="6D7B6091"/>
    <w:rsid w:val="6D8C63A4"/>
    <w:rsid w:val="6D945FD8"/>
    <w:rsid w:val="6D982EC3"/>
    <w:rsid w:val="6DA0009B"/>
    <w:rsid w:val="6DAC5718"/>
    <w:rsid w:val="6DAD3F98"/>
    <w:rsid w:val="6DC620EB"/>
    <w:rsid w:val="6DCA3AD7"/>
    <w:rsid w:val="6DD94DBA"/>
    <w:rsid w:val="6DDD33D7"/>
    <w:rsid w:val="6DDD41DF"/>
    <w:rsid w:val="6DFE18AB"/>
    <w:rsid w:val="6E012EB9"/>
    <w:rsid w:val="6E0D6E3E"/>
    <w:rsid w:val="6E0F1211"/>
    <w:rsid w:val="6E1A00C4"/>
    <w:rsid w:val="6E1B1288"/>
    <w:rsid w:val="6E1C0D67"/>
    <w:rsid w:val="6E255AF0"/>
    <w:rsid w:val="6E307712"/>
    <w:rsid w:val="6E3627E9"/>
    <w:rsid w:val="6E4F2ED8"/>
    <w:rsid w:val="6E500591"/>
    <w:rsid w:val="6E5D3B22"/>
    <w:rsid w:val="6E70730E"/>
    <w:rsid w:val="6E732CEA"/>
    <w:rsid w:val="6E89780F"/>
    <w:rsid w:val="6E97710B"/>
    <w:rsid w:val="6EAD5D1C"/>
    <w:rsid w:val="6EC04DB4"/>
    <w:rsid w:val="6ED47F58"/>
    <w:rsid w:val="6EE127CB"/>
    <w:rsid w:val="6EE76307"/>
    <w:rsid w:val="6EF00E07"/>
    <w:rsid w:val="6EF4038C"/>
    <w:rsid w:val="6F0069ED"/>
    <w:rsid w:val="6F020F87"/>
    <w:rsid w:val="6F351A91"/>
    <w:rsid w:val="6F3B68BD"/>
    <w:rsid w:val="6F437B7A"/>
    <w:rsid w:val="6F4C16E1"/>
    <w:rsid w:val="6F596421"/>
    <w:rsid w:val="6F5F2796"/>
    <w:rsid w:val="6F620E5A"/>
    <w:rsid w:val="6F6557AF"/>
    <w:rsid w:val="6F660453"/>
    <w:rsid w:val="6F6906A2"/>
    <w:rsid w:val="6F6B7D6A"/>
    <w:rsid w:val="6F783F12"/>
    <w:rsid w:val="6F7A2AC1"/>
    <w:rsid w:val="6FA05E81"/>
    <w:rsid w:val="6FA73EC3"/>
    <w:rsid w:val="6FB07D29"/>
    <w:rsid w:val="6FB30B76"/>
    <w:rsid w:val="6FBD0858"/>
    <w:rsid w:val="6FD730F1"/>
    <w:rsid w:val="6FDF2FEB"/>
    <w:rsid w:val="6FF47470"/>
    <w:rsid w:val="701A579A"/>
    <w:rsid w:val="701F11C3"/>
    <w:rsid w:val="70290CA1"/>
    <w:rsid w:val="70412782"/>
    <w:rsid w:val="70533FD2"/>
    <w:rsid w:val="705C36F5"/>
    <w:rsid w:val="707E725D"/>
    <w:rsid w:val="7089234E"/>
    <w:rsid w:val="708C3687"/>
    <w:rsid w:val="709241E9"/>
    <w:rsid w:val="70A341A3"/>
    <w:rsid w:val="70AA221B"/>
    <w:rsid w:val="70AA4FAE"/>
    <w:rsid w:val="70AB101A"/>
    <w:rsid w:val="70D31698"/>
    <w:rsid w:val="70DC1542"/>
    <w:rsid w:val="70E14A9B"/>
    <w:rsid w:val="70E60C21"/>
    <w:rsid w:val="70F825BD"/>
    <w:rsid w:val="70F93AD3"/>
    <w:rsid w:val="70FB71ED"/>
    <w:rsid w:val="7101401D"/>
    <w:rsid w:val="710C7745"/>
    <w:rsid w:val="711549DF"/>
    <w:rsid w:val="71457BBA"/>
    <w:rsid w:val="714755BB"/>
    <w:rsid w:val="715E2552"/>
    <w:rsid w:val="71615427"/>
    <w:rsid w:val="7169571A"/>
    <w:rsid w:val="71754A63"/>
    <w:rsid w:val="71831D27"/>
    <w:rsid w:val="71B90FEB"/>
    <w:rsid w:val="71CC18A4"/>
    <w:rsid w:val="71DB018E"/>
    <w:rsid w:val="71DE6927"/>
    <w:rsid w:val="720721E0"/>
    <w:rsid w:val="720F732D"/>
    <w:rsid w:val="721E5A26"/>
    <w:rsid w:val="72367EEE"/>
    <w:rsid w:val="72373C05"/>
    <w:rsid w:val="724C04FD"/>
    <w:rsid w:val="725306B2"/>
    <w:rsid w:val="726170B9"/>
    <w:rsid w:val="726B305C"/>
    <w:rsid w:val="727E61E5"/>
    <w:rsid w:val="728C33A3"/>
    <w:rsid w:val="72956BD9"/>
    <w:rsid w:val="729754C6"/>
    <w:rsid w:val="72B20BBC"/>
    <w:rsid w:val="72B95F27"/>
    <w:rsid w:val="72BE0AA9"/>
    <w:rsid w:val="72BF4B7B"/>
    <w:rsid w:val="72E1752D"/>
    <w:rsid w:val="72E3507A"/>
    <w:rsid w:val="73126C8E"/>
    <w:rsid w:val="73186C82"/>
    <w:rsid w:val="733777F3"/>
    <w:rsid w:val="733B4404"/>
    <w:rsid w:val="7359728C"/>
    <w:rsid w:val="735D0D0B"/>
    <w:rsid w:val="7369261F"/>
    <w:rsid w:val="736C3D16"/>
    <w:rsid w:val="73725529"/>
    <w:rsid w:val="73927CE2"/>
    <w:rsid w:val="73970046"/>
    <w:rsid w:val="739775DC"/>
    <w:rsid w:val="73A015C2"/>
    <w:rsid w:val="73A913CF"/>
    <w:rsid w:val="73AE185C"/>
    <w:rsid w:val="73AF38B4"/>
    <w:rsid w:val="73B4249A"/>
    <w:rsid w:val="73B72500"/>
    <w:rsid w:val="73BA7DD1"/>
    <w:rsid w:val="73C7258A"/>
    <w:rsid w:val="73CB235E"/>
    <w:rsid w:val="73CF2401"/>
    <w:rsid w:val="73EB1497"/>
    <w:rsid w:val="73EC5779"/>
    <w:rsid w:val="73F55C17"/>
    <w:rsid w:val="74000A47"/>
    <w:rsid w:val="74054C8B"/>
    <w:rsid w:val="743756D2"/>
    <w:rsid w:val="74430700"/>
    <w:rsid w:val="7443191B"/>
    <w:rsid w:val="74484526"/>
    <w:rsid w:val="744F422A"/>
    <w:rsid w:val="745953F9"/>
    <w:rsid w:val="745A1FD0"/>
    <w:rsid w:val="745B45EA"/>
    <w:rsid w:val="74863F7B"/>
    <w:rsid w:val="74885606"/>
    <w:rsid w:val="748B171E"/>
    <w:rsid w:val="748F0559"/>
    <w:rsid w:val="74967A7F"/>
    <w:rsid w:val="74992A22"/>
    <w:rsid w:val="749B4D6F"/>
    <w:rsid w:val="74B31C11"/>
    <w:rsid w:val="74B57A48"/>
    <w:rsid w:val="74BB6271"/>
    <w:rsid w:val="74CB0A43"/>
    <w:rsid w:val="74D21BEA"/>
    <w:rsid w:val="74E801F9"/>
    <w:rsid w:val="74F11C0E"/>
    <w:rsid w:val="74F30C6A"/>
    <w:rsid w:val="74F3790B"/>
    <w:rsid w:val="74F50A5A"/>
    <w:rsid w:val="74FA3A3A"/>
    <w:rsid w:val="75081863"/>
    <w:rsid w:val="751115BE"/>
    <w:rsid w:val="751F2214"/>
    <w:rsid w:val="75232D3C"/>
    <w:rsid w:val="753A47C2"/>
    <w:rsid w:val="75414E23"/>
    <w:rsid w:val="75473397"/>
    <w:rsid w:val="75501D12"/>
    <w:rsid w:val="75580F8A"/>
    <w:rsid w:val="7564563A"/>
    <w:rsid w:val="75713838"/>
    <w:rsid w:val="757348BE"/>
    <w:rsid w:val="75740E00"/>
    <w:rsid w:val="757F162D"/>
    <w:rsid w:val="75A34575"/>
    <w:rsid w:val="75AB0EDF"/>
    <w:rsid w:val="75BE31B8"/>
    <w:rsid w:val="75C55F3C"/>
    <w:rsid w:val="75C65731"/>
    <w:rsid w:val="75CC2D4E"/>
    <w:rsid w:val="75CE4DAB"/>
    <w:rsid w:val="75DE20F1"/>
    <w:rsid w:val="75E249B4"/>
    <w:rsid w:val="75F71430"/>
    <w:rsid w:val="760B3F8C"/>
    <w:rsid w:val="76116617"/>
    <w:rsid w:val="761F3067"/>
    <w:rsid w:val="763A080C"/>
    <w:rsid w:val="764D471D"/>
    <w:rsid w:val="76520020"/>
    <w:rsid w:val="765876E1"/>
    <w:rsid w:val="765C70BB"/>
    <w:rsid w:val="76641507"/>
    <w:rsid w:val="76643BD8"/>
    <w:rsid w:val="76862D91"/>
    <w:rsid w:val="76885D98"/>
    <w:rsid w:val="76981346"/>
    <w:rsid w:val="769976DB"/>
    <w:rsid w:val="76A06AA4"/>
    <w:rsid w:val="76AD251E"/>
    <w:rsid w:val="76B6375B"/>
    <w:rsid w:val="76B85CFC"/>
    <w:rsid w:val="76B95F90"/>
    <w:rsid w:val="76BB26F6"/>
    <w:rsid w:val="76C468F9"/>
    <w:rsid w:val="76DF6548"/>
    <w:rsid w:val="76EB5B39"/>
    <w:rsid w:val="76ED2AF4"/>
    <w:rsid w:val="76FA40B9"/>
    <w:rsid w:val="76FD7244"/>
    <w:rsid w:val="77101A07"/>
    <w:rsid w:val="771478EB"/>
    <w:rsid w:val="77167A2F"/>
    <w:rsid w:val="771B59AD"/>
    <w:rsid w:val="773643D4"/>
    <w:rsid w:val="77375D4C"/>
    <w:rsid w:val="773E5387"/>
    <w:rsid w:val="77461B9D"/>
    <w:rsid w:val="774E49E5"/>
    <w:rsid w:val="775372FF"/>
    <w:rsid w:val="775A5AE2"/>
    <w:rsid w:val="776375F5"/>
    <w:rsid w:val="776B574B"/>
    <w:rsid w:val="776F4F23"/>
    <w:rsid w:val="77880747"/>
    <w:rsid w:val="7796413B"/>
    <w:rsid w:val="77A01257"/>
    <w:rsid w:val="77A93491"/>
    <w:rsid w:val="77AB5948"/>
    <w:rsid w:val="77BD75A0"/>
    <w:rsid w:val="77C05814"/>
    <w:rsid w:val="77C30307"/>
    <w:rsid w:val="77C91725"/>
    <w:rsid w:val="77CA6BD8"/>
    <w:rsid w:val="77E359DC"/>
    <w:rsid w:val="78021730"/>
    <w:rsid w:val="78156E78"/>
    <w:rsid w:val="782D5EAF"/>
    <w:rsid w:val="784229CE"/>
    <w:rsid w:val="7849242F"/>
    <w:rsid w:val="784C342E"/>
    <w:rsid w:val="784F1576"/>
    <w:rsid w:val="7850371B"/>
    <w:rsid w:val="786B2ADE"/>
    <w:rsid w:val="7870711C"/>
    <w:rsid w:val="78752F9E"/>
    <w:rsid w:val="787C36F8"/>
    <w:rsid w:val="788A54A2"/>
    <w:rsid w:val="78953D22"/>
    <w:rsid w:val="789E1F25"/>
    <w:rsid w:val="789F1175"/>
    <w:rsid w:val="78A515AE"/>
    <w:rsid w:val="78A74500"/>
    <w:rsid w:val="78A7588C"/>
    <w:rsid w:val="78BE1657"/>
    <w:rsid w:val="78BE307C"/>
    <w:rsid w:val="78CB19D1"/>
    <w:rsid w:val="78D12600"/>
    <w:rsid w:val="78E02212"/>
    <w:rsid w:val="78E70867"/>
    <w:rsid w:val="78E75794"/>
    <w:rsid w:val="79021A9F"/>
    <w:rsid w:val="7908379E"/>
    <w:rsid w:val="790B385D"/>
    <w:rsid w:val="79166EA0"/>
    <w:rsid w:val="792A6FEB"/>
    <w:rsid w:val="79310BF5"/>
    <w:rsid w:val="7931734A"/>
    <w:rsid w:val="793C27DB"/>
    <w:rsid w:val="79881C57"/>
    <w:rsid w:val="799011C2"/>
    <w:rsid w:val="79AF2036"/>
    <w:rsid w:val="79B20AC0"/>
    <w:rsid w:val="79BD46A6"/>
    <w:rsid w:val="79D866EA"/>
    <w:rsid w:val="79DC303C"/>
    <w:rsid w:val="79E03437"/>
    <w:rsid w:val="79F82592"/>
    <w:rsid w:val="79FA0E9D"/>
    <w:rsid w:val="79FF23D3"/>
    <w:rsid w:val="7A177534"/>
    <w:rsid w:val="7A1B0A37"/>
    <w:rsid w:val="7A1C61B3"/>
    <w:rsid w:val="7A1E1E98"/>
    <w:rsid w:val="7A37748C"/>
    <w:rsid w:val="7A420298"/>
    <w:rsid w:val="7A421B98"/>
    <w:rsid w:val="7A64596D"/>
    <w:rsid w:val="7A6B120C"/>
    <w:rsid w:val="7A7E4E11"/>
    <w:rsid w:val="7A7F539D"/>
    <w:rsid w:val="7A8A4C53"/>
    <w:rsid w:val="7A8D23AB"/>
    <w:rsid w:val="7AAA75CF"/>
    <w:rsid w:val="7AB449E9"/>
    <w:rsid w:val="7ABD7465"/>
    <w:rsid w:val="7AC25FA0"/>
    <w:rsid w:val="7ACE6186"/>
    <w:rsid w:val="7ADB38D4"/>
    <w:rsid w:val="7AE15ECF"/>
    <w:rsid w:val="7AEA2C72"/>
    <w:rsid w:val="7B1212F5"/>
    <w:rsid w:val="7B1D1697"/>
    <w:rsid w:val="7B2044F7"/>
    <w:rsid w:val="7B310E5D"/>
    <w:rsid w:val="7B3626CA"/>
    <w:rsid w:val="7B3D5A4B"/>
    <w:rsid w:val="7B3F7FF2"/>
    <w:rsid w:val="7B5363CC"/>
    <w:rsid w:val="7B553E36"/>
    <w:rsid w:val="7B706C3D"/>
    <w:rsid w:val="7B7A5E29"/>
    <w:rsid w:val="7B7E6398"/>
    <w:rsid w:val="7B894697"/>
    <w:rsid w:val="7B99287F"/>
    <w:rsid w:val="7BB30755"/>
    <w:rsid w:val="7BB435C3"/>
    <w:rsid w:val="7BB632F2"/>
    <w:rsid w:val="7BB91496"/>
    <w:rsid w:val="7BC84C59"/>
    <w:rsid w:val="7BDE47D1"/>
    <w:rsid w:val="7BDE48BC"/>
    <w:rsid w:val="7BE071F8"/>
    <w:rsid w:val="7BE22FEF"/>
    <w:rsid w:val="7BF13877"/>
    <w:rsid w:val="7BF81BE9"/>
    <w:rsid w:val="7BF97FA1"/>
    <w:rsid w:val="7C01401C"/>
    <w:rsid w:val="7C033E46"/>
    <w:rsid w:val="7C0A3CB0"/>
    <w:rsid w:val="7C235683"/>
    <w:rsid w:val="7C277D26"/>
    <w:rsid w:val="7C2E219C"/>
    <w:rsid w:val="7C30543E"/>
    <w:rsid w:val="7C306C48"/>
    <w:rsid w:val="7C39133E"/>
    <w:rsid w:val="7C47649C"/>
    <w:rsid w:val="7C4C234C"/>
    <w:rsid w:val="7C587C3D"/>
    <w:rsid w:val="7C6227A7"/>
    <w:rsid w:val="7C6E5D58"/>
    <w:rsid w:val="7C744100"/>
    <w:rsid w:val="7C782645"/>
    <w:rsid w:val="7C7B211D"/>
    <w:rsid w:val="7C807D13"/>
    <w:rsid w:val="7C88148D"/>
    <w:rsid w:val="7C8B2B45"/>
    <w:rsid w:val="7C8E30CF"/>
    <w:rsid w:val="7C913021"/>
    <w:rsid w:val="7CA42DF4"/>
    <w:rsid w:val="7CAA58B6"/>
    <w:rsid w:val="7CB33935"/>
    <w:rsid w:val="7CB459FD"/>
    <w:rsid w:val="7CB647E1"/>
    <w:rsid w:val="7CC400A6"/>
    <w:rsid w:val="7CC400EE"/>
    <w:rsid w:val="7CCD3892"/>
    <w:rsid w:val="7CD56340"/>
    <w:rsid w:val="7CE50F77"/>
    <w:rsid w:val="7CE633C0"/>
    <w:rsid w:val="7CEE66B4"/>
    <w:rsid w:val="7CF20ECE"/>
    <w:rsid w:val="7CF46F55"/>
    <w:rsid w:val="7D184447"/>
    <w:rsid w:val="7D1B173D"/>
    <w:rsid w:val="7D262E20"/>
    <w:rsid w:val="7D3A0B62"/>
    <w:rsid w:val="7D5866E9"/>
    <w:rsid w:val="7D5C3060"/>
    <w:rsid w:val="7D6656FF"/>
    <w:rsid w:val="7D6B7D13"/>
    <w:rsid w:val="7D7A31FA"/>
    <w:rsid w:val="7D7A3E7D"/>
    <w:rsid w:val="7D7D4BB8"/>
    <w:rsid w:val="7D87168F"/>
    <w:rsid w:val="7D9A56EE"/>
    <w:rsid w:val="7DA75EAF"/>
    <w:rsid w:val="7DB00667"/>
    <w:rsid w:val="7DB4086F"/>
    <w:rsid w:val="7DBE1A3A"/>
    <w:rsid w:val="7DBF3D24"/>
    <w:rsid w:val="7DC007A4"/>
    <w:rsid w:val="7DD2691C"/>
    <w:rsid w:val="7DD3146A"/>
    <w:rsid w:val="7DD967CF"/>
    <w:rsid w:val="7DEC0A0E"/>
    <w:rsid w:val="7E283ECD"/>
    <w:rsid w:val="7E2A5552"/>
    <w:rsid w:val="7E333FDB"/>
    <w:rsid w:val="7E3563A1"/>
    <w:rsid w:val="7E3842C6"/>
    <w:rsid w:val="7E654AE8"/>
    <w:rsid w:val="7E735DA8"/>
    <w:rsid w:val="7E753CCA"/>
    <w:rsid w:val="7E8160A0"/>
    <w:rsid w:val="7E9326F9"/>
    <w:rsid w:val="7E9D42A8"/>
    <w:rsid w:val="7ECA307F"/>
    <w:rsid w:val="7EDF53FA"/>
    <w:rsid w:val="7EE06661"/>
    <w:rsid w:val="7EE10C39"/>
    <w:rsid w:val="7EE20452"/>
    <w:rsid w:val="7EEF2649"/>
    <w:rsid w:val="7F0A79A1"/>
    <w:rsid w:val="7F0D4874"/>
    <w:rsid w:val="7F0E6A25"/>
    <w:rsid w:val="7F1F72B1"/>
    <w:rsid w:val="7F333AFF"/>
    <w:rsid w:val="7F360BC8"/>
    <w:rsid w:val="7F395D9C"/>
    <w:rsid w:val="7F453F0E"/>
    <w:rsid w:val="7F545E05"/>
    <w:rsid w:val="7F693B8F"/>
    <w:rsid w:val="7F696BCB"/>
    <w:rsid w:val="7F6A695B"/>
    <w:rsid w:val="7F6E18F3"/>
    <w:rsid w:val="7F79468E"/>
    <w:rsid w:val="7F7E68AB"/>
    <w:rsid w:val="7FB50D1B"/>
    <w:rsid w:val="7FB63783"/>
    <w:rsid w:val="7FB820C8"/>
    <w:rsid w:val="7FBB0814"/>
    <w:rsid w:val="7FBD6D7D"/>
    <w:rsid w:val="7FC57777"/>
    <w:rsid w:val="7FCC6389"/>
    <w:rsid w:val="7FD47A79"/>
    <w:rsid w:val="7FF0757E"/>
    <w:rsid w:val="7FFF5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5"/>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6"/>
    <w:qFormat/>
    <w:uiPriority w:val="0"/>
    <w:pPr>
      <w:pBdr>
        <w:top w:val="none" w:color="auto" w:sz="0" w:space="0"/>
      </w:pBdr>
      <w:spacing w:before="180"/>
      <w:outlineLvl w:val="1"/>
    </w:pPr>
    <w:rPr>
      <w:sz w:val="28"/>
    </w:rPr>
  </w:style>
  <w:style w:type="paragraph" w:styleId="4">
    <w:name w:val="heading 3"/>
    <w:basedOn w:val="3"/>
    <w:next w:val="1"/>
    <w:link w:val="107"/>
    <w:qFormat/>
    <w:uiPriority w:val="0"/>
    <w:pPr>
      <w:spacing w:before="120"/>
      <w:outlineLvl w:val="2"/>
    </w:pPr>
  </w:style>
  <w:style w:type="paragraph" w:styleId="5">
    <w:name w:val="heading 4"/>
    <w:basedOn w:val="4"/>
    <w:next w:val="1"/>
    <w:link w:val="108"/>
    <w:qFormat/>
    <w:uiPriority w:val="0"/>
    <w:pPr>
      <w:outlineLvl w:val="3"/>
    </w:pPr>
    <w:rPr>
      <w:sz w:val="24"/>
    </w:rPr>
  </w:style>
  <w:style w:type="paragraph" w:styleId="6">
    <w:name w:val="heading 5"/>
    <w:basedOn w:val="5"/>
    <w:next w:val="1"/>
    <w:link w:val="60"/>
    <w:qFormat/>
    <w:uiPriority w:val="0"/>
    <w:p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character" w:customStyle="1" w:styleId="60">
    <w:name w:val="标题 5 Char"/>
    <w:link w:val="6"/>
    <w:qFormat/>
    <w:uiPriority w:val="0"/>
    <w:rPr>
      <w:rFonts w:ascii="Arial" w:hAnsi="Arial"/>
      <w:sz w:val="22"/>
      <w:lang w:val="en-GB" w:eastAsia="en-US"/>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3">
    <w:name w:val="TT"/>
    <w:basedOn w:val="2"/>
    <w:next w:val="1"/>
    <w:qFormat/>
    <w:uiPriority w:val="0"/>
    <w:pPr>
      <w:outlineLvl w:val="9"/>
    </w:pPr>
  </w:style>
  <w:style w:type="paragraph" w:customStyle="1" w:styleId="64">
    <w:name w:val="TAH"/>
    <w:basedOn w:val="65"/>
    <w:qFormat/>
    <w:uiPriority w:val="0"/>
    <w:rPr>
      <w:b/>
    </w:rPr>
  </w:style>
  <w:style w:type="paragraph" w:customStyle="1" w:styleId="65">
    <w:name w:val="TAC"/>
    <w:basedOn w:val="66"/>
    <w:link w:val="123"/>
    <w:qFormat/>
    <w:uiPriority w:val="0"/>
    <w:pPr>
      <w:jc w:val="center"/>
    </w:pPr>
  </w:style>
  <w:style w:type="paragraph" w:customStyle="1" w:styleId="66">
    <w:name w:val="TAL"/>
    <w:basedOn w:val="1"/>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24"/>
    <w:qFormat/>
    <w:uiPriority w:val="0"/>
    <w:pPr>
      <w:keepNext/>
      <w:keepLines/>
      <w:spacing w:before="60"/>
      <w:jc w:val="center"/>
    </w:pPr>
    <w:rPr>
      <w:rFonts w:ascii="Arial" w:hAnsi="Arial"/>
      <w:b/>
    </w:rPr>
  </w:style>
  <w:style w:type="paragraph" w:customStyle="1" w:styleId="69">
    <w:name w:val="NO"/>
    <w:basedOn w:val="1"/>
    <w:link w:val="133"/>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7">
    <w:name w:val="Editor's Note"/>
    <w:basedOn w:val="69"/>
    <w:qFormat/>
    <w:uiPriority w:val="0"/>
    <w:rPr>
      <w:color w:val="FF0000"/>
    </w:rPr>
  </w:style>
  <w:style w:type="paragraph" w:customStyle="1" w:styleId="88">
    <w:name w:val="B1"/>
    <w:basedOn w:val="14"/>
    <w:link w:val="134"/>
    <w:qFormat/>
    <w:uiPriority w:val="0"/>
    <w:pPr>
      <w:ind w:left="284" w:firstLine="0"/>
    </w:pPr>
  </w:style>
  <w:style w:type="paragraph" w:customStyle="1" w:styleId="89">
    <w:name w:val="B2"/>
    <w:basedOn w:val="13"/>
    <w:link w:val="135"/>
    <w:qFormat/>
    <w:uiPriority w:val="0"/>
    <w:pPr>
      <w:ind w:left="567" w:firstLine="0"/>
    </w:pPr>
  </w:style>
  <w:style w:type="paragraph" w:customStyle="1" w:styleId="90">
    <w:name w:val="B3"/>
    <w:basedOn w:val="12"/>
    <w:qFormat/>
    <w:uiPriority w:val="0"/>
    <w:pPr>
      <w:ind w:left="851" w:firstLine="0"/>
    </w:pPr>
  </w:style>
  <w:style w:type="paragraph" w:customStyle="1" w:styleId="91">
    <w:name w:val="B4"/>
    <w:basedOn w:val="42"/>
    <w:qFormat/>
    <w:uiPriority w:val="0"/>
    <w:pPr>
      <w:ind w:left="1134" w:firstLine="0"/>
    </w:pPr>
  </w:style>
  <w:style w:type="paragraph" w:customStyle="1" w:styleId="92">
    <w:name w:val="B5"/>
    <w:basedOn w:val="41"/>
    <w:qFormat/>
    <w:uiPriority w:val="0"/>
    <w:pPr>
      <w:ind w:left="1418" w:firstLine="0"/>
    </w:pPr>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2"/>
      </w:numPr>
    </w:pPr>
  </w:style>
  <w:style w:type="paragraph" w:customStyle="1" w:styleId="96">
    <w:name w:val="text"/>
    <w:basedOn w:val="1"/>
    <w:qFormat/>
    <w:uiPriority w:val="0"/>
    <w:pPr>
      <w:spacing w:after="240"/>
    </w:pPr>
    <w:rPr>
      <w:sz w:val="24"/>
      <w:lang w:eastAsia="zh-CN"/>
    </w:rPr>
  </w:style>
  <w:style w:type="paragraph" w:customStyle="1" w:styleId="97">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8">
    <w:name w:val="00 BodyText"/>
    <w:basedOn w:val="1"/>
    <w:qFormat/>
    <w:uiPriority w:val="0"/>
    <w:pPr>
      <w:spacing w:after="220"/>
    </w:pPr>
    <w:rPr>
      <w:rFonts w:ascii="Arial" w:hAnsi="Arial"/>
      <w:sz w:val="22"/>
    </w:rPr>
  </w:style>
  <w:style w:type="paragraph" w:customStyle="1" w:styleId="99">
    <w:name w:val="11 BodyText"/>
    <w:basedOn w:val="1"/>
    <w:qFormat/>
    <w:uiPriority w:val="0"/>
    <w:pPr>
      <w:spacing w:after="220"/>
      <w:ind w:left="1298"/>
    </w:pPr>
    <w:rPr>
      <w:rFonts w:ascii="Arial" w:hAnsi="Arial"/>
      <w:sz w:val="22"/>
    </w:rPr>
  </w:style>
  <w:style w:type="paragraph" w:customStyle="1" w:styleId="100">
    <w:name w:val="table"/>
    <w:basedOn w:val="96"/>
    <w:next w:val="96"/>
    <w:qFormat/>
    <w:uiPriority w:val="0"/>
    <w:pPr>
      <w:spacing w:after="0"/>
      <w:jc w:val="center"/>
    </w:pPr>
    <w:rPr>
      <w:sz w:val="20"/>
    </w:rPr>
  </w:style>
  <w:style w:type="paragraph" w:customStyle="1" w:styleId="101">
    <w:name w:val="body Char Char Char"/>
    <w:basedOn w:val="1"/>
    <w:qFormat/>
    <w:uiPriority w:val="0"/>
    <w:pPr>
      <w:tabs>
        <w:tab w:val="left" w:pos="2160"/>
      </w:tabs>
      <w:spacing w:before="120" w:line="280" w:lineRule="atLeast"/>
    </w:pPr>
    <w:rPr>
      <w:rFonts w:ascii="New York" w:hAnsi="New York"/>
      <w:sz w:val="24"/>
    </w:rPr>
  </w:style>
  <w:style w:type="character" w:customStyle="1" w:styleId="102">
    <w:name w:val="Heading 1 Char"/>
    <w:qFormat/>
    <w:uiPriority w:val="0"/>
    <w:rPr>
      <w:rFonts w:ascii="Arial" w:hAnsi="Arial"/>
      <w:sz w:val="36"/>
      <w:lang w:val="en-GB" w:eastAsia="en-US" w:bidi="ar-SA"/>
    </w:rPr>
  </w:style>
  <w:style w:type="paragraph" w:customStyle="1" w:styleId="103">
    <w:name w:val="body"/>
    <w:basedOn w:val="1"/>
    <w:qFormat/>
    <w:uiPriority w:val="0"/>
    <w:pPr>
      <w:tabs>
        <w:tab w:val="left" w:pos="2160"/>
      </w:tabs>
      <w:spacing w:before="120" w:line="280" w:lineRule="atLeast"/>
    </w:pPr>
    <w:rPr>
      <w:rFonts w:ascii="New York" w:hAnsi="New York"/>
      <w:sz w:val="24"/>
    </w:rPr>
  </w:style>
  <w:style w:type="paragraph" w:customStyle="1" w:styleId="104">
    <w:name w:val="CR Cover Page"/>
    <w:qFormat/>
    <w:uiPriority w:val="0"/>
    <w:pPr>
      <w:spacing w:after="120"/>
    </w:pPr>
    <w:rPr>
      <w:rFonts w:ascii="Arial" w:hAnsi="Arial" w:eastAsia="MS Mincho" w:cs="Times New Roman"/>
      <w:lang w:val="en-GB" w:eastAsia="en-US" w:bidi="ar-SA"/>
    </w:rPr>
  </w:style>
  <w:style w:type="character" w:customStyle="1" w:styleId="105">
    <w:name w:val="标题 1 Char"/>
    <w:link w:val="2"/>
    <w:qFormat/>
    <w:uiPriority w:val="0"/>
    <w:rPr>
      <w:rFonts w:ascii="Arial" w:hAnsi="Arial" w:eastAsia="宋体"/>
      <w:sz w:val="32"/>
      <w:lang w:val="en-GB" w:eastAsia="en-US"/>
    </w:rPr>
  </w:style>
  <w:style w:type="character" w:customStyle="1" w:styleId="106">
    <w:name w:val="标题 2 Char"/>
    <w:link w:val="3"/>
    <w:qFormat/>
    <w:uiPriority w:val="0"/>
    <w:rPr>
      <w:rFonts w:ascii="Arial" w:hAnsi="Arial" w:eastAsia="宋体"/>
      <w:sz w:val="28"/>
      <w:lang w:val="en-GB" w:eastAsia="en-US"/>
    </w:rPr>
  </w:style>
  <w:style w:type="character" w:customStyle="1" w:styleId="107">
    <w:name w:val="标题 3 Char"/>
    <w:link w:val="4"/>
    <w:qFormat/>
    <w:uiPriority w:val="0"/>
    <w:rPr>
      <w:rFonts w:ascii="Arial" w:hAnsi="Arial"/>
      <w:sz w:val="28"/>
      <w:lang w:val="en-GB" w:eastAsia="en-US"/>
    </w:rPr>
  </w:style>
  <w:style w:type="character" w:customStyle="1" w:styleId="108">
    <w:name w:val="标题 4 Char"/>
    <w:link w:val="5"/>
    <w:qFormat/>
    <w:uiPriority w:val="0"/>
    <w:rPr>
      <w:rFonts w:ascii="Arial" w:hAnsi="Arial"/>
      <w:sz w:val="24"/>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70"/>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5"/>
    <w:qFormat/>
    <w:uiPriority w:val="0"/>
    <w:rPr>
      <w:rFonts w:ascii="Arial" w:hAnsi="Arial"/>
      <w:sz w:val="18"/>
      <w:lang w:val="en-GB" w:eastAsia="en-US"/>
    </w:rPr>
  </w:style>
  <w:style w:type="character" w:customStyle="1" w:styleId="124">
    <w:name w:val="TH Char"/>
    <w:link w:val="68"/>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9"/>
    <w:qFormat/>
    <w:locked/>
    <w:uiPriority w:val="0"/>
    <w:rPr>
      <w:rFonts w:ascii="Times New Roman" w:hAnsi="Times New Roman"/>
      <w:lang w:eastAsia="en-US"/>
    </w:rPr>
  </w:style>
  <w:style w:type="character" w:customStyle="1" w:styleId="134">
    <w:name w:val="B1 Char1"/>
    <w:basedOn w:val="52"/>
    <w:link w:val="88"/>
    <w:qFormat/>
    <w:locked/>
    <w:uiPriority w:val="0"/>
    <w:rPr>
      <w:lang w:eastAsia="en-US"/>
    </w:rPr>
  </w:style>
  <w:style w:type="character" w:customStyle="1" w:styleId="135">
    <w:name w:val="B2 Char"/>
    <w:basedOn w:val="52"/>
    <w:link w:val="89"/>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styleId="152">
    <w:name w:val="No Spacing"/>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0" Type="http://schemas.openxmlformats.org/officeDocument/2006/relationships/fontTable" Target="fontTable.xml"/><Relationship Id="rId4" Type="http://schemas.openxmlformats.org/officeDocument/2006/relationships/footer" Target="footer1.xml"/><Relationship Id="rId39" Type="http://schemas.openxmlformats.org/officeDocument/2006/relationships/customXml" Target="../customXml/item6.xml"/><Relationship Id="rId38" Type="http://schemas.openxmlformats.org/officeDocument/2006/relationships/customXml" Target="../customXml/item5.xml"/><Relationship Id="rId37" Type="http://schemas.openxmlformats.org/officeDocument/2006/relationships/customXml" Target="../customXml/item4.xml"/><Relationship Id="rId36" Type="http://schemas.openxmlformats.org/officeDocument/2006/relationships/customXml" Target="../customXml/item3.xml"/><Relationship Id="rId35" Type="http://schemas.openxmlformats.org/officeDocument/2006/relationships/customXml" Target="../customXml/item2.xml"/><Relationship Id="rId34" Type="http://schemas.openxmlformats.org/officeDocument/2006/relationships/numbering" Target="numbering.xml"/><Relationship Id="rId33" Type="http://schemas.openxmlformats.org/officeDocument/2006/relationships/customXml" Target="../customXml/item1.xml"/><Relationship Id="rId32" Type="http://schemas.openxmlformats.org/officeDocument/2006/relationships/chart" Target="charts/chart6.xml"/><Relationship Id="rId31" Type="http://schemas.openxmlformats.org/officeDocument/2006/relationships/chart" Target="charts/chart5.xml"/><Relationship Id="rId30" Type="http://schemas.openxmlformats.org/officeDocument/2006/relationships/chart" Target="charts/chart4.xml"/><Relationship Id="rId3" Type="http://schemas.openxmlformats.org/officeDocument/2006/relationships/header" Target="header1.xml"/><Relationship Id="rId29" Type="http://schemas.openxmlformats.org/officeDocument/2006/relationships/chart" Target="charts/chart3.xml"/><Relationship Id="rId28" Type="http://schemas.openxmlformats.org/officeDocument/2006/relationships/image" Target="media/image10.emf"/><Relationship Id="rId27" Type="http://schemas.openxmlformats.org/officeDocument/2006/relationships/image" Target="media/image9.emf"/><Relationship Id="rId26" Type="http://schemas.openxmlformats.org/officeDocument/2006/relationships/chart" Target="charts/chart2.xml"/><Relationship Id="rId25" Type="http://schemas.openxmlformats.org/officeDocument/2006/relationships/chart" Target="charts/chart1.xml"/><Relationship Id="rId24" Type="http://schemas.openxmlformats.org/officeDocument/2006/relationships/image" Target="media/image8.wmf"/><Relationship Id="rId23" Type="http://schemas.openxmlformats.org/officeDocument/2006/relationships/oleObject" Target="embeddings/oleObject10.bin"/><Relationship Id="rId22" Type="http://schemas.openxmlformats.org/officeDocument/2006/relationships/oleObject" Target="embeddings/oleObject9.bin"/><Relationship Id="rId21" Type="http://schemas.openxmlformats.org/officeDocument/2006/relationships/image" Target="media/image7.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7.bin"/><Relationship Id="rId17" Type="http://schemas.openxmlformats.org/officeDocument/2006/relationships/image" Target="media/image5.wmf"/><Relationship Id="rId16" Type="http://schemas.openxmlformats.org/officeDocument/2006/relationships/oleObject" Target="embeddings/oleObject6.bin"/><Relationship Id="rId15" Type="http://schemas.openxmlformats.org/officeDocument/2006/relationships/image" Target="media/image4.wmf"/><Relationship Id="rId14" Type="http://schemas.openxmlformats.org/officeDocument/2006/relationships/oleObject" Target="embeddings/oleObject5.bin"/><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10109974\Desktop\Coverage%20enhancement&#20223;&#30495;&#32467;&#26524;.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C:\Users\10109974\Desktop\Coverage%20enhancement&#20223;&#30495;&#32467;&#26524;.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10109974\Desktop\Coverage%20enhancement&#20223;&#30495;&#32467;&#26524;.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C:\Users\10109974\Desktop\Coverage%20enhancement&#20223;&#30495;&#32467;&#26524;.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C:\Users\10109974\Desktop\Coverage%20enhancement&#20223;&#30495;&#32467;&#26524;.xlsx"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C:\Users\10109974\Desktop\Coverage%20enhancement&#20223;&#30495;&#32467;&#2652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Rma_700MHz_O2I</a:t>
            </a:r>
            <a:endParaRPr lang="en-US" altLang="zh-CN"/>
          </a:p>
        </c:rich>
      </c:tx>
      <c:layout/>
      <c:overlay val="0"/>
      <c:spPr>
        <a:noFill/>
        <a:ln>
          <a:noFill/>
        </a:ln>
        <a:effectLst/>
      </c:spPr>
    </c:title>
    <c:autoTitleDeleted val="0"/>
    <c:plotArea>
      <c:layout>
        <c:manualLayout>
          <c:layoutTarget val="inner"/>
          <c:xMode val="edge"/>
          <c:yMode val="edge"/>
          <c:x val="0.0894646868648131"/>
          <c:y val="0.104054054054054"/>
          <c:w val="0.866702155975512"/>
          <c:h val="0.673050193050193"/>
        </c:manualLayout>
      </c:layout>
      <c:lineChart>
        <c:grouping val="standard"/>
        <c:varyColors val="0"/>
        <c:ser>
          <c:idx val="6"/>
          <c:order val="6"/>
          <c:tx>
            <c:strRef>
              <c:f>'[Coverage enhancement仿真结果.xlsx]20200114-无跳频'!$A$527</c:f>
              <c:strCache>
                <c:ptCount val="1"/>
                <c:pt idx="0">
                  <c:v>w/ joint channel estimation, w/o RFE, MCS1</c:v>
                </c:pt>
              </c:strCache>
            </c:strRef>
          </c:tx>
          <c:spPr>
            <a:ln w="28575" cap="rnd" cmpd="sng">
              <a:solidFill>
                <a:schemeClr val="accent3"/>
              </a:solidFill>
              <a:prstDash val="sysDot"/>
              <a:round/>
            </a:ln>
            <a:effectLst/>
            <a:sp3d contourW="28575"/>
          </c:spPr>
          <c:marker>
            <c:symbol val="circle"/>
            <c:size val="5"/>
            <c:spPr>
              <a:solidFill>
                <a:schemeClr val="accent3"/>
              </a:solidFill>
              <a:ln w="9525">
                <a:solidFill>
                  <a:schemeClr val="accent3"/>
                </a:solidFill>
              </a:ln>
              <a:effectLst/>
            </c:spPr>
          </c:marker>
          <c:dLbls>
            <c:delete val="1"/>
          </c:dLbls>
          <c:cat>
            <c:numRef>
              <c:extLst>
                <c:ext xmlns:c15="http://schemas.microsoft.com/office/drawing/2012/chart" uri="{02D57815-91ED-43cb-92C2-25804820EDAC}">
                  <c15:fullRef>
                    <c15:sqref>'[Coverage enhancement仿真结果.xlsx]20200114-无跳频'!$B$520:$G$520</c15:sqref>
                  </c15:fullRef>
                </c:ext>
              </c:extLst>
              <c:f>'[Coverage enhancement仿真结果.xlsx]20200114-无跳频'!$B$520:$F$520</c:f>
              <c:numCache>
                <c:formatCode>General</c:formatCode>
                <c:ptCount val="5"/>
                <c:pt idx="0">
                  <c:v>-20</c:v>
                </c:pt>
                <c:pt idx="1">
                  <c:v>-18</c:v>
                </c:pt>
                <c:pt idx="2">
                  <c:v>-16</c:v>
                </c:pt>
                <c:pt idx="3">
                  <c:v>-14</c:v>
                </c:pt>
                <c:pt idx="4">
                  <c:v>-12</c:v>
                </c:pt>
              </c:numCache>
            </c:numRef>
          </c:cat>
          <c:val>
            <c:numRef>
              <c:extLst>
                <c:ext xmlns:c15="http://schemas.microsoft.com/office/drawing/2012/chart" uri="{02D57815-91ED-43cb-92C2-25804820EDAC}">
                  <c15:fullRef>
                    <c15:sqref>'20200114-无跳频'!$B$527:$G$527</c15:sqref>
                  </c15:fullRef>
                </c:ext>
              </c:extLst>
              <c:f>'[Coverage enhancement仿真结果.xlsx]20200114-无跳频'!$B$527:$F$527</c:f>
              <c:numCache>
                <c:formatCode>General</c:formatCode>
                <c:ptCount val="5"/>
                <c:pt idx="0">
                  <c:v>0.77662</c:v>
                </c:pt>
                <c:pt idx="1">
                  <c:v>0.44916</c:v>
                </c:pt>
                <c:pt idx="2">
                  <c:v>0.19376</c:v>
                </c:pt>
                <c:pt idx="3">
                  <c:v>0.06245</c:v>
                </c:pt>
                <c:pt idx="4">
                  <c:v>0.02162</c:v>
                </c:pt>
              </c:numCache>
            </c:numRef>
          </c:val>
          <c:smooth val="0"/>
        </c:ser>
        <c:ser>
          <c:idx val="7"/>
          <c:order val="7"/>
          <c:tx>
            <c:strRef>
              <c:f>'[Coverage enhancement仿真结果.xlsx]20200114-无跳频'!$A$528</c:f>
              <c:strCache>
                <c:ptCount val="1"/>
                <c:pt idx="0">
                  <c:v>w/ joint channel estimation, w/ RFE, MCS1</c:v>
                </c:pt>
              </c:strCache>
            </c:strRef>
          </c:tx>
          <c:spPr>
            <a:ln w="28575" cap="rnd" cmpd="sng">
              <a:solidFill>
                <a:schemeClr val="accent3"/>
              </a:solidFill>
              <a:prstDash val="solid"/>
              <a:round/>
            </a:ln>
            <a:effectLst/>
            <a:sp3d contourW="28575"/>
          </c:spPr>
          <c:marker>
            <c:symbol val="circle"/>
            <c:size val="5"/>
            <c:spPr>
              <a:solidFill>
                <a:schemeClr val="accent3"/>
              </a:solidFill>
              <a:ln w="9525">
                <a:solidFill>
                  <a:schemeClr val="accent3"/>
                </a:solidFill>
              </a:ln>
              <a:effectLst/>
            </c:spPr>
          </c:marker>
          <c:dLbls>
            <c:delete val="1"/>
          </c:dLbls>
          <c:cat>
            <c:numRef>
              <c:extLst>
                <c:ext xmlns:c15="http://schemas.microsoft.com/office/drawing/2012/chart" uri="{02D57815-91ED-43cb-92C2-25804820EDAC}">
                  <c15:fullRef>
                    <c15:sqref>'[Coverage enhancement仿真结果.xlsx]20200114-无跳频'!$B$520:$G$520</c15:sqref>
                  </c15:fullRef>
                </c:ext>
              </c:extLst>
              <c:f>'[Coverage enhancement仿真结果.xlsx]20200114-无跳频'!$B$520:$F$520</c:f>
              <c:numCache>
                <c:formatCode>General</c:formatCode>
                <c:ptCount val="5"/>
                <c:pt idx="0">
                  <c:v>-20</c:v>
                </c:pt>
                <c:pt idx="1">
                  <c:v>-18</c:v>
                </c:pt>
                <c:pt idx="2">
                  <c:v>-16</c:v>
                </c:pt>
                <c:pt idx="3">
                  <c:v>-14</c:v>
                </c:pt>
                <c:pt idx="4">
                  <c:v>-12</c:v>
                </c:pt>
              </c:numCache>
            </c:numRef>
          </c:cat>
          <c:val>
            <c:numRef>
              <c:extLst>
                <c:ext xmlns:c15="http://schemas.microsoft.com/office/drawing/2012/chart" uri="{02D57815-91ED-43cb-92C2-25804820EDAC}">
                  <c15:fullRef>
                    <c15:sqref>'20200114-无跳频'!$B$528:$G$528</c15:sqref>
                  </c15:fullRef>
                </c:ext>
              </c:extLst>
              <c:f>'[Coverage enhancement仿真结果.xlsx]20200114-无跳频'!$B$528:$F$528</c:f>
              <c:numCache>
                <c:formatCode>General</c:formatCode>
                <c:ptCount val="5"/>
                <c:pt idx="0">
                  <c:v>0.78062</c:v>
                </c:pt>
                <c:pt idx="1">
                  <c:v>0.47398</c:v>
                </c:pt>
                <c:pt idx="2">
                  <c:v>0.20176</c:v>
                </c:pt>
                <c:pt idx="3">
                  <c:v>0.07126</c:v>
                </c:pt>
                <c:pt idx="4">
                  <c:v>0.02242</c:v>
                </c:pt>
              </c:numCache>
            </c:numRef>
          </c:val>
          <c:smooth val="0"/>
        </c:ser>
        <c:dLbls>
          <c:showLegendKey val="0"/>
          <c:showVal val="0"/>
          <c:showCatName val="0"/>
          <c:showSerName val="0"/>
          <c:showPercent val="0"/>
          <c:showBubbleSize val="0"/>
        </c:dLbls>
        <c:marker val="1"/>
        <c:smooth val="0"/>
        <c:axId val="276343789"/>
        <c:axId val="980509578"/>
        <c:extLst>
          <c:ext xmlns:c15="http://schemas.microsoft.com/office/drawing/2012/chart" uri="{02D57815-91ED-43cb-92C2-25804820EDAC}">
            <c15:filteredLineSeries>
              <c15:ser>
                <c:idx val="0"/>
                <c:order val="0"/>
                <c:tx>
                  <c:strRef>
                    <c:extLst>
                      <c:ext uri="{02D57815-91ED-43cb-92C2-25804820EDAC}">
                        <c15:formulaRef>
                          <c15:sqref>'[Coverage enhancement仿真结果.xlsx]20200114-无跳频'!$A$521</c15:sqref>
                        </c15:formulaRef>
                      </c:ext>
                    </c:extLst>
                    <c:strCache>
                      <c:ptCount val="1"/>
                      <c:pt idx="0">
                        <c:v>Case 1:DMRS pattern 1 w/o joint channel estimation w/o RFE, (Baseline 1, MCS0)</c:v>
                      </c:pt>
                    </c:strCache>
                  </c:strRef>
                </c:tx>
                <c:spPr>
                  <a:ln w="28575" cap="rnd" cmpd="sng">
                    <a:solidFill>
                      <a:schemeClr val="tx1">
                        <a:lumMod val="60000"/>
                        <a:lumOff val="40000"/>
                      </a:schemeClr>
                    </a:solidFill>
                    <a:prstDash val="sysDot"/>
                    <a:round/>
                  </a:ln>
                  <a:effectLst/>
                  <a:sp3d contourW="28575"/>
                </c:spPr>
                <c:marker>
                  <c:symbol val="circle"/>
                  <c:size val="5"/>
                  <c:spPr>
                    <a:solidFill>
                      <a:schemeClr val="tx1">
                        <a:lumMod val="60000"/>
                        <a:lumOff val="40000"/>
                      </a:schemeClr>
                    </a:solidFill>
                    <a:ln w="9525">
                      <a:solidFill>
                        <a:schemeClr val="tx1">
                          <a:lumMod val="60000"/>
                          <a:lumOff val="40000"/>
                        </a:schemeClr>
                      </a:solidFill>
                    </a:ln>
                    <a:effectLst/>
                  </c:spPr>
                </c:marker>
                <c:dLbls>
                  <c:delete val="1"/>
                </c:dLbls>
                <c:cat>
                  <c:numRef>
                    <c:extLst>
                      <c:ext uri="{02D57815-91ED-43cb-92C2-25804820EDAC}">
                        <c15:fullRef>
                          <c15:sqref>'[Coverage enhancement仿真结果.xlsx]20200114-无跳频'!$B$520:$G$520</c15:sqref>
                        </c15:fullRef>
                        <c15:formulaRef>
                          <c15:sqref>'[Coverage enhancement仿真结果.xlsx]20200114-无跳频'!$B$520:$F$520</c15:sqref>
                        </c15:formulaRef>
                      </c:ext>
                    </c:extLst>
                    <c:numCache>
                      <c:formatCode>General</c:formatCode>
                      <c:ptCount val="5"/>
                      <c:pt idx="0">
                        <c:v>-20</c:v>
                      </c:pt>
                      <c:pt idx="1">
                        <c:v>-18</c:v>
                      </c:pt>
                      <c:pt idx="2">
                        <c:v>-16</c:v>
                      </c:pt>
                      <c:pt idx="3">
                        <c:v>-14</c:v>
                      </c:pt>
                      <c:pt idx="4">
                        <c:v>-12</c:v>
                      </c:pt>
                    </c:numCache>
                  </c:numRef>
                </c:cat>
                <c:val>
                  <c:numRef>
                    <c:extLst>
                      <c:ext uri="{02D57815-91ED-43cb-92C2-25804820EDAC}">
                        <c15:fullRef>
                          <c15:sqref>'20200114-无跳频'!$B$521:$G$521</c15:sqref>
                        </c15:fullRef>
                        <c15:formulaRef>
                          <c15:sqref>{0.95997,0.78143,0.45156,0.17694,0.05284}</c15:sqref>
                        </c15:formulaRef>
                      </c:ext>
                    </c:extLst>
                    <c:numCache>
                      <c:formatCode>General</c:formatCode>
                      <c:ptCount val="5"/>
                      <c:pt idx="0">
                        <c:v>0.95997</c:v>
                      </c:pt>
                      <c:pt idx="1">
                        <c:v>0.78143</c:v>
                      </c:pt>
                      <c:pt idx="2">
                        <c:v>0.45156</c:v>
                      </c:pt>
                      <c:pt idx="3">
                        <c:v>0.17694</c:v>
                      </c:pt>
                      <c:pt idx="4">
                        <c:v>0.05284</c:v>
                      </c:pt>
                    </c:numCache>
                  </c:numRef>
                </c:val>
                <c:smooth val="0"/>
              </c15:ser>
            </c15:filteredLineSeries>
            <c15:filteredLineSeries>
              <c15:ser>
                <c:idx val="1"/>
                <c:order val="1"/>
                <c:tx>
                  <c:strRef>
                    <c:extLst>
                      <c:ext uri="{02D57815-91ED-43cb-92C2-25804820EDAC}">
                        <c15:formulaRef>
                          <c15:sqref>'[Coverage enhancement仿真结果.xlsx]20200114-无跳频'!$A$522</c15:sqref>
                        </c15:formulaRef>
                      </c:ext>
                    </c:extLst>
                    <c:strCache>
                      <c:ptCount val="1"/>
                      <c:pt idx="0">
                        <c:v>Case 1:DMRS pattern 1 w/o joint channel estimation w/ RFE, (Baseline 1, MCS0)</c:v>
                      </c:pt>
                    </c:strCache>
                  </c:strRef>
                </c:tx>
                <c:spPr>
                  <a:ln w="28575" cap="rnd" cmpd="sng">
                    <a:solidFill>
                      <a:schemeClr val="tx1">
                        <a:lumMod val="60000"/>
                        <a:lumOff val="40000"/>
                      </a:schemeClr>
                    </a:solidFill>
                    <a:prstDash val="solid"/>
                    <a:round/>
                  </a:ln>
                  <a:effectLst/>
                  <a:sp3d contourW="28575"/>
                </c:spPr>
                <c:marker>
                  <c:symbol val="circle"/>
                  <c:size val="5"/>
                  <c:spPr>
                    <a:solidFill>
                      <a:schemeClr val="tx1">
                        <a:lumMod val="60000"/>
                        <a:lumOff val="40000"/>
                      </a:schemeClr>
                    </a:solidFill>
                    <a:ln w="9525">
                      <a:solidFill>
                        <a:schemeClr val="tx1">
                          <a:lumMod val="60000"/>
                          <a:lumOff val="40000"/>
                        </a:schemeClr>
                      </a:solidFill>
                    </a:ln>
                    <a:effectLst/>
                  </c:spPr>
                </c:marker>
                <c:dLbls>
                  <c:delete val="1"/>
                </c:dLbls>
                <c:cat>
                  <c:numRef>
                    <c:extLst>
                      <c:ext uri="{02D57815-91ED-43cb-92C2-25804820EDAC}">
                        <c15:fullRef>
                          <c15:sqref>'[Coverage enhancement仿真结果.xlsx]20200114-无跳频'!$B$520:$G$520</c15:sqref>
                        </c15:fullRef>
                        <c15:formulaRef>
                          <c15:sqref>'[Coverage enhancement仿真结果.xlsx]20200114-无跳频'!$B$520:$F$520</c15:sqref>
                        </c15:formulaRef>
                      </c:ext>
                    </c:extLst>
                    <c:numCache>
                      <c:formatCode>General</c:formatCode>
                      <c:ptCount val="5"/>
                      <c:pt idx="0">
                        <c:v>-20</c:v>
                      </c:pt>
                      <c:pt idx="1">
                        <c:v>-18</c:v>
                      </c:pt>
                      <c:pt idx="2">
                        <c:v>-16</c:v>
                      </c:pt>
                      <c:pt idx="3">
                        <c:v>-14</c:v>
                      </c:pt>
                      <c:pt idx="4">
                        <c:v>-12</c:v>
                      </c:pt>
                    </c:numCache>
                  </c:numRef>
                </c:cat>
                <c:val>
                  <c:numRef>
                    <c:extLst>
                      <c:ext uri="{02D57815-91ED-43cb-92C2-25804820EDAC}">
                        <c15:fullRef>
                          <c15:sqref>'20200114-无跳频'!$B$522:$G$522</c15:sqref>
                        </c15:fullRef>
                        <c15:formulaRef>
                          <c15:sqref>{0.96397,0.78383,0.43395,0.17854,0.05524}</c15:sqref>
                        </c15:formulaRef>
                      </c:ext>
                    </c:extLst>
                    <c:numCache>
                      <c:formatCode>General</c:formatCode>
                      <c:ptCount val="5"/>
                      <c:pt idx="0">
                        <c:v>0.96397</c:v>
                      </c:pt>
                      <c:pt idx="1">
                        <c:v>0.78383</c:v>
                      </c:pt>
                      <c:pt idx="2">
                        <c:v>0.43395</c:v>
                      </c:pt>
                      <c:pt idx="3">
                        <c:v>0.17854</c:v>
                      </c:pt>
                      <c:pt idx="4">
                        <c:v>0.05524</c:v>
                      </c:pt>
                    </c:numCache>
                  </c:numRef>
                </c:val>
                <c:smooth val="0"/>
              </c15:ser>
            </c15:filteredLineSeries>
            <c15:filteredLineSeries>
              <c15:ser>
                <c:idx val="2"/>
                <c:order val="2"/>
                <c:tx>
                  <c:strRef>
                    <c:extLst>
                      <c:ext uri="{02D57815-91ED-43cb-92C2-25804820EDAC}">
                        <c15:formulaRef>
                          <c15:sqref>'[Coverage enhancement仿真结果.xlsx]20200114-无跳频'!$A$523</c15:sqref>
                        </c15:formulaRef>
                      </c:ext>
                    </c:extLst>
                    <c:strCache>
                      <c:ptCount val="1"/>
                      <c:pt idx="0">
                        <c:v>Case 2:DMRS pattern 2 w/o joint channel estimation w/o RFE, (Baseline 2, MCS1)</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extLst>
                      <c:ext uri="{02D57815-91ED-43cb-92C2-25804820EDAC}">
                        <c15:fullRef>
                          <c15:sqref>'[Coverage enhancement仿真结果.xlsx]20200114-无跳频'!$B$520:$G$520</c15:sqref>
                        </c15:fullRef>
                        <c15:formulaRef>
                          <c15:sqref>'[Coverage enhancement仿真结果.xlsx]20200114-无跳频'!$B$520:$F$520</c15:sqref>
                        </c15:formulaRef>
                      </c:ext>
                    </c:extLst>
                    <c:numCache>
                      <c:formatCode>General</c:formatCode>
                      <c:ptCount val="5"/>
                      <c:pt idx="0">
                        <c:v>-20</c:v>
                      </c:pt>
                      <c:pt idx="1">
                        <c:v>-18</c:v>
                      </c:pt>
                      <c:pt idx="2">
                        <c:v>-16</c:v>
                      </c:pt>
                      <c:pt idx="3">
                        <c:v>-14</c:v>
                      </c:pt>
                      <c:pt idx="4">
                        <c:v>-12</c:v>
                      </c:pt>
                    </c:numCache>
                  </c:numRef>
                </c:cat>
                <c:val>
                  <c:numRef>
                    <c:extLst>
                      <c:ext uri="{02D57815-91ED-43cb-92C2-25804820EDAC}">
                        <c15:fullRef>
                          <c15:sqref>'20200114-无跳频'!$B$523:$G$523</c15:sqref>
                        </c15:fullRef>
                        <c15:formulaRef>
                          <c15:sqref>{0.94876,0.7454,0.40913,0.15773,0.05444}</c15:sqref>
                        </c15:formulaRef>
                      </c:ext>
                    </c:extLst>
                    <c:numCache>
                      <c:formatCode>General</c:formatCode>
                      <c:ptCount val="5"/>
                      <c:pt idx="0">
                        <c:v>0.94876</c:v>
                      </c:pt>
                      <c:pt idx="1">
                        <c:v>0.7454</c:v>
                      </c:pt>
                      <c:pt idx="2">
                        <c:v>0.40913</c:v>
                      </c:pt>
                      <c:pt idx="3">
                        <c:v>0.15773</c:v>
                      </c:pt>
                      <c:pt idx="4">
                        <c:v>0.05444</c:v>
                      </c:pt>
                    </c:numCache>
                  </c:numRef>
                </c:val>
                <c:smooth val="0"/>
              </c15:ser>
            </c15:filteredLineSeries>
            <c15:filteredLineSeries>
              <c15:ser>
                <c:idx val="3"/>
                <c:order val="3"/>
                <c:tx>
                  <c:strRef>
                    <c:extLst>
                      <c:ext uri="{02D57815-91ED-43cb-92C2-25804820EDAC}">
                        <c15:formulaRef>
                          <c15:sqref>'[Coverage enhancement仿真结果.xlsx]20200114-无跳频'!$A$524</c15:sqref>
                        </c15:formulaRef>
                      </c:ext>
                    </c:extLst>
                    <c:strCache>
                      <c:ptCount val="1"/>
                      <c:pt idx="0">
                        <c:v>Case 2:DMRS pattern 2 w/o joint channel estimation w/ RFE, (Baseline 2, MCS1)</c:v>
                      </c:pt>
                    </c:strCache>
                  </c:strRef>
                </c:tx>
                <c:spPr>
                  <a:ln w="28575" cap="rnd" cmpd="sng">
                    <a:solidFill>
                      <a:schemeClr val="accent4"/>
                    </a:solidFill>
                    <a:prstDash val="solid"/>
                    <a:round/>
                  </a:ln>
                  <a:effectLst/>
                  <a:sp3d contourW="28575"/>
                </c:spPr>
                <c:marker>
                  <c:symbol val="circle"/>
                  <c:size val="5"/>
                  <c:spPr>
                    <a:solidFill>
                      <a:schemeClr val="accent4"/>
                    </a:solidFill>
                    <a:ln w="9525">
                      <a:solidFill>
                        <a:schemeClr val="accent4"/>
                      </a:solidFill>
                    </a:ln>
                    <a:effectLst/>
                  </c:spPr>
                </c:marker>
                <c:dLbls>
                  <c:delete val="1"/>
                </c:dLbls>
                <c:cat>
                  <c:numRef>
                    <c:extLst>
                      <c:ext uri="{02D57815-91ED-43cb-92C2-25804820EDAC}">
                        <c15:fullRef>
                          <c15:sqref>'[Coverage enhancement仿真结果.xlsx]20200114-无跳频'!$B$520:$G$520</c15:sqref>
                        </c15:fullRef>
                        <c15:formulaRef>
                          <c15:sqref>'[Coverage enhancement仿真结果.xlsx]20200114-无跳频'!$B$520:$F$520</c15:sqref>
                        </c15:formulaRef>
                      </c:ext>
                    </c:extLst>
                    <c:numCache>
                      <c:formatCode>General</c:formatCode>
                      <c:ptCount val="5"/>
                      <c:pt idx="0">
                        <c:v>-20</c:v>
                      </c:pt>
                      <c:pt idx="1">
                        <c:v>-18</c:v>
                      </c:pt>
                      <c:pt idx="2">
                        <c:v>-16</c:v>
                      </c:pt>
                      <c:pt idx="3">
                        <c:v>-14</c:v>
                      </c:pt>
                      <c:pt idx="4">
                        <c:v>-12</c:v>
                      </c:pt>
                    </c:numCache>
                  </c:numRef>
                </c:cat>
                <c:val>
                  <c:numRef>
                    <c:extLst>
                      <c:ext uri="{02D57815-91ED-43cb-92C2-25804820EDAC}">
                        <c15:fullRef>
                          <c15:sqref>'20200114-无跳频'!$B$524:$G$524</c15:sqref>
                        </c15:fullRef>
                        <c15:formulaRef>
                          <c15:sqref>{0.95356,0.73899,0.41553,0.16493,0.05524}</c15:sqref>
                        </c15:formulaRef>
                      </c:ext>
                    </c:extLst>
                    <c:numCache>
                      <c:formatCode>General</c:formatCode>
                      <c:ptCount val="5"/>
                      <c:pt idx="0">
                        <c:v>0.95356</c:v>
                      </c:pt>
                      <c:pt idx="1">
                        <c:v>0.73899</c:v>
                      </c:pt>
                      <c:pt idx="2">
                        <c:v>0.41553</c:v>
                      </c:pt>
                      <c:pt idx="3">
                        <c:v>0.16493</c:v>
                      </c:pt>
                      <c:pt idx="4">
                        <c:v>0.05524</c:v>
                      </c:pt>
                    </c:numCache>
                  </c:numRef>
                </c:val>
                <c:smooth val="0"/>
              </c15:ser>
            </c15:filteredLineSeries>
            <c15:filteredLineSeries>
              <c15:ser>
                <c:idx val="4"/>
                <c:order val="4"/>
                <c:tx>
                  <c:strRef>
                    <c:extLst>
                      <c:ext uri="{02D57815-91ED-43cb-92C2-25804820EDAC}">
                        <c15:formulaRef>
                          <c15:sqref>'[Coverage enhancement仿真结果.xlsx]20200114-无跳频'!$A$525</c15:sqref>
                        </c15:formulaRef>
                      </c:ext>
                    </c:extLst>
                    <c:strCache>
                      <c:ptCount val="1"/>
                      <c:pt idx="0">
                        <c:v>Case 3:DMRS pattern 1 w/ joint channel estimation, w/o DMRS optimization, w/o RFE, MCS0</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dLbls>
                  <c:delete val="1"/>
                </c:dLbls>
                <c:cat>
                  <c:numRef>
                    <c:extLst>
                      <c:ext uri="{02D57815-91ED-43cb-92C2-25804820EDAC}">
                        <c15:fullRef>
                          <c15:sqref>'[Coverage enhancement仿真结果.xlsx]20200114-无跳频'!$B$520:$G$520</c15:sqref>
                        </c15:fullRef>
                        <c15:formulaRef>
                          <c15:sqref>'[Coverage enhancement仿真结果.xlsx]20200114-无跳频'!$B$520:$F$520</c15:sqref>
                        </c15:formulaRef>
                      </c:ext>
                    </c:extLst>
                    <c:numCache>
                      <c:formatCode>General</c:formatCode>
                      <c:ptCount val="5"/>
                      <c:pt idx="0">
                        <c:v>-20</c:v>
                      </c:pt>
                      <c:pt idx="1">
                        <c:v>-18</c:v>
                      </c:pt>
                      <c:pt idx="2">
                        <c:v>-16</c:v>
                      </c:pt>
                      <c:pt idx="3">
                        <c:v>-14</c:v>
                      </c:pt>
                      <c:pt idx="4">
                        <c:v>-12</c:v>
                      </c:pt>
                    </c:numCache>
                  </c:numRef>
                </c:cat>
                <c:val>
                  <c:numRef>
                    <c:extLst>
                      <c:ext uri="{02D57815-91ED-43cb-92C2-25804820EDAC}">
                        <c15:fullRef>
                          <c15:sqref>'20200114-无跳频'!$B$525:$G$525</c15:sqref>
                        </c15:fullRef>
                        <c15:formulaRef>
                          <c15:sqref>{0.67574,0.34988,0.15052,0.05524,#N/A}</c15:sqref>
                        </c15:formulaRef>
                      </c:ext>
                    </c:extLst>
                    <c:numCache>
                      <c:formatCode>General</c:formatCode>
                      <c:ptCount val="5"/>
                      <c:pt idx="0">
                        <c:v>0.67574</c:v>
                      </c:pt>
                      <c:pt idx="1">
                        <c:v>0.34988</c:v>
                      </c:pt>
                      <c:pt idx="2">
                        <c:v>0.15052</c:v>
                      </c:pt>
                      <c:pt idx="3">
                        <c:v>0.05524</c:v>
                      </c:pt>
                    </c:numCache>
                  </c:numRef>
                </c:val>
                <c:smooth val="0"/>
              </c15:ser>
            </c15:filteredLineSeries>
            <c15:filteredLineSeries>
              <c15:ser>
                <c:idx val="5"/>
                <c:order val="5"/>
                <c:tx>
                  <c:strRef>
                    <c:extLst>
                      <c:ext uri="{02D57815-91ED-43cb-92C2-25804820EDAC}">
                        <c15:formulaRef>
                          <c15:sqref>'[Coverage enhancement仿真结果.xlsx]20200114-无跳频'!$A$526</c15:sqref>
                        </c15:formulaRef>
                      </c:ext>
                    </c:extLst>
                    <c:strCache>
                      <c:ptCount val="1"/>
                      <c:pt idx="0">
                        <c:v>Case 3:DMRS pattern 1 w/ joint channel estimation, w/o DMRS optimization, w/ RFE, MCS0</c:v>
                      </c:pt>
                    </c:strCache>
                  </c:strRef>
                </c:tx>
                <c:spPr>
                  <a:ln w="28575" cap="rnd" cmpd="sng">
                    <a:solidFill>
                      <a:schemeClr val="accent1">
                        <a:lumMod val="60000"/>
                        <a:lumOff val="40000"/>
                      </a:schemeClr>
                    </a:solidFill>
                    <a:prstDash val="solid"/>
                    <a:round/>
                  </a:ln>
                  <a:effectLst/>
                  <a:sp3d contourW="28575"/>
                </c:spPr>
                <c:marker>
                  <c:symbol val="circle"/>
                  <c:size val="5"/>
                  <c:spPr>
                    <a:solidFill>
                      <a:schemeClr val="accent1"/>
                    </a:solidFill>
                    <a:ln w="9525">
                      <a:solidFill>
                        <a:schemeClr val="accent1"/>
                      </a:solidFill>
                    </a:ln>
                    <a:effectLst/>
                  </c:spPr>
                </c:marker>
                <c:dLbls>
                  <c:delete val="1"/>
                </c:dLbls>
                <c:cat>
                  <c:numRef>
                    <c:extLst>
                      <c:ext uri="{02D57815-91ED-43cb-92C2-25804820EDAC}">
                        <c15:fullRef>
                          <c15:sqref>'[Coverage enhancement仿真结果.xlsx]20200114-无跳频'!$B$520:$G$520</c15:sqref>
                        </c15:fullRef>
                        <c15:formulaRef>
                          <c15:sqref>'[Coverage enhancement仿真结果.xlsx]20200114-无跳频'!$B$520:$F$520</c15:sqref>
                        </c15:formulaRef>
                      </c:ext>
                    </c:extLst>
                    <c:numCache>
                      <c:formatCode>General</c:formatCode>
                      <c:ptCount val="5"/>
                      <c:pt idx="0">
                        <c:v>-20</c:v>
                      </c:pt>
                      <c:pt idx="1">
                        <c:v>-18</c:v>
                      </c:pt>
                      <c:pt idx="2">
                        <c:v>-16</c:v>
                      </c:pt>
                      <c:pt idx="3">
                        <c:v>-14</c:v>
                      </c:pt>
                      <c:pt idx="4">
                        <c:v>-12</c:v>
                      </c:pt>
                    </c:numCache>
                  </c:numRef>
                </c:cat>
                <c:val>
                  <c:numRef>
                    <c:extLst>
                      <c:ext uri="{02D57815-91ED-43cb-92C2-25804820EDAC}">
                        <c15:fullRef>
                          <c15:sqref>'20200114-无跳频'!$B$526:$G$526</c15:sqref>
                        </c15:fullRef>
                        <c15:formulaRef>
                          <c15:sqref>{0.69416,0.36109,0.14412,0.04564,#N/A}</c15:sqref>
                        </c15:formulaRef>
                      </c:ext>
                    </c:extLst>
                    <c:numCache>
                      <c:formatCode>General</c:formatCode>
                      <c:ptCount val="5"/>
                      <c:pt idx="0">
                        <c:v>0.69416</c:v>
                      </c:pt>
                      <c:pt idx="1">
                        <c:v>0.36109</c:v>
                      </c:pt>
                      <c:pt idx="2">
                        <c:v>0.14412</c:v>
                      </c:pt>
                      <c:pt idx="3">
                        <c:v>0.04564</c:v>
                      </c:pt>
                    </c:numCache>
                  </c:numRef>
                </c:val>
                <c:smooth val="0"/>
              </c15:ser>
            </c15:filteredLineSeries>
            <c15:filteredLineSeries>
              <c15:ser>
                <c:idx val="8"/>
                <c:order val="8"/>
                <c:tx>
                  <c:strRef>
                    <c:extLst>
                      <c:ext uri="{02D57815-91ED-43cb-92C2-25804820EDAC}">
                        <c15:formulaRef>
                          <c15:sqref>'[Coverage enhancement仿真结果.xlsx]20200114-无跳频'!$A$529</c15:sqref>
                        </c15:formulaRef>
                      </c:ext>
                    </c:extLst>
                    <c:strCache>
                      <c:ptCount val="1"/>
                      <c:pt idx="0">
                        <c:v>Case 5:DMRS pattern 3 w/ joint channel estimation, w/ DMRS optimization, w/o RFE, MCS0</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dLbls>
                  <c:delete val="1"/>
                </c:dLbls>
                <c:cat>
                  <c:numRef>
                    <c:extLst>
                      <c:ext uri="{02D57815-91ED-43cb-92C2-25804820EDAC}">
                        <c15:fullRef>
                          <c15:sqref>'[Coverage enhancement仿真结果.xlsx]20200114-无跳频'!$B$520:$G$520</c15:sqref>
                        </c15:fullRef>
                        <c15:formulaRef>
                          <c15:sqref>'[Coverage enhancement仿真结果.xlsx]20200114-无跳频'!$B$520:$F$520</c15:sqref>
                        </c15:formulaRef>
                      </c:ext>
                    </c:extLst>
                    <c:numCache>
                      <c:formatCode>General</c:formatCode>
                      <c:ptCount val="5"/>
                      <c:pt idx="0">
                        <c:v>-20</c:v>
                      </c:pt>
                      <c:pt idx="1">
                        <c:v>-18</c:v>
                      </c:pt>
                      <c:pt idx="2">
                        <c:v>-16</c:v>
                      </c:pt>
                      <c:pt idx="3">
                        <c:v>-14</c:v>
                      </c:pt>
                      <c:pt idx="4">
                        <c:v>-12</c:v>
                      </c:pt>
                    </c:numCache>
                  </c:numRef>
                </c:cat>
                <c:val>
                  <c:numRef>
                    <c:extLst>
                      <c:ext uri="{02D57815-91ED-43cb-92C2-25804820EDAC}">
                        <c15:fullRef>
                          <c15:sqref>'20200114-无跳频'!$B$529:$G$529</c15:sqref>
                        </c15:fullRef>
                        <c15:formulaRef>
                          <c15:sqref>{0.73979,0.43155,0.16894,0.06245,0.02162}</c15:sqref>
                        </c15:formulaRef>
                      </c:ext>
                    </c:extLst>
                    <c:numCache>
                      <c:formatCode>General</c:formatCode>
                      <c:ptCount val="5"/>
                      <c:pt idx="0">
                        <c:v>0.73979</c:v>
                      </c:pt>
                      <c:pt idx="1">
                        <c:v>0.43155</c:v>
                      </c:pt>
                      <c:pt idx="2">
                        <c:v>0.16894</c:v>
                      </c:pt>
                      <c:pt idx="3">
                        <c:v>0.06245</c:v>
                      </c:pt>
                      <c:pt idx="4">
                        <c:v>0.02162</c:v>
                      </c:pt>
                    </c:numCache>
                  </c:numRef>
                </c:val>
                <c:smooth val="0"/>
              </c15:ser>
            </c15:filteredLineSeries>
            <c15:filteredLineSeries>
              <c15:ser>
                <c:idx val="9"/>
                <c:order val="9"/>
                <c:tx>
                  <c:strRef>
                    <c:extLst>
                      <c:ext uri="{02D57815-91ED-43cb-92C2-25804820EDAC}">
                        <c15:formulaRef>
                          <c15:sqref>'[Coverage enhancement仿真结果.xlsx]20200114-无跳频'!$A$530</c15:sqref>
                        </c15:formulaRef>
                      </c:ext>
                    </c:extLst>
                    <c:strCache>
                      <c:ptCount val="1"/>
                      <c:pt idx="0">
                        <c:v>Case 5:DMRS pattern 3 w/ joint channel estimation, w/ DMRS optimization, w/ RFE, MCS0</c:v>
                      </c:pt>
                    </c:strCache>
                  </c:strRef>
                </c:tx>
                <c:spPr>
                  <a:ln w="28575" cap="rnd" cmpd="sng">
                    <a:solidFill>
                      <a:schemeClr val="accent4">
                        <a:lumMod val="60000"/>
                      </a:schemeClr>
                    </a:solidFill>
                    <a:prstDash val="solid"/>
                    <a:round/>
                  </a:ln>
                  <a:effectLst/>
                  <a:sp3d contourW="28575"/>
                </c:spPr>
                <c:marker>
                  <c:symbol val="circle"/>
                  <c:size val="5"/>
                  <c:spPr>
                    <a:solidFill>
                      <a:schemeClr val="accent4">
                        <a:lumMod val="60000"/>
                      </a:schemeClr>
                    </a:solidFill>
                    <a:ln w="9525">
                      <a:solidFill>
                        <a:schemeClr val="accent4">
                          <a:lumMod val="60000"/>
                        </a:schemeClr>
                      </a:solidFill>
                    </a:ln>
                    <a:effectLst/>
                  </c:spPr>
                </c:marker>
                <c:dLbls>
                  <c:delete val="1"/>
                </c:dLbls>
                <c:cat>
                  <c:numRef>
                    <c:extLst>
                      <c:ext uri="{02D57815-91ED-43cb-92C2-25804820EDAC}">
                        <c15:fullRef>
                          <c15:sqref>'[Coverage enhancement仿真结果.xlsx]20200114-无跳频'!$B$520:$G$520</c15:sqref>
                        </c15:fullRef>
                        <c15:formulaRef>
                          <c15:sqref>'[Coverage enhancement仿真结果.xlsx]20200114-无跳频'!$B$520:$F$520</c15:sqref>
                        </c15:formulaRef>
                      </c:ext>
                    </c:extLst>
                    <c:numCache>
                      <c:formatCode>General</c:formatCode>
                      <c:ptCount val="5"/>
                      <c:pt idx="0">
                        <c:v>-20</c:v>
                      </c:pt>
                      <c:pt idx="1">
                        <c:v>-18</c:v>
                      </c:pt>
                      <c:pt idx="2">
                        <c:v>-16</c:v>
                      </c:pt>
                      <c:pt idx="3">
                        <c:v>-14</c:v>
                      </c:pt>
                      <c:pt idx="4">
                        <c:v>-12</c:v>
                      </c:pt>
                    </c:numCache>
                  </c:numRef>
                </c:cat>
                <c:val>
                  <c:numRef>
                    <c:extLst>
                      <c:ext uri="{02D57815-91ED-43cb-92C2-25804820EDAC}">
                        <c15:fullRef>
                          <c15:sqref>'20200114-无跳频'!$B$530:$G$530</c15:sqref>
                        </c15:fullRef>
                        <c15:formulaRef>
                          <c15:sqref>{0.7558,0.43875,0.20657,0.07526,0.02162}</c15:sqref>
                        </c15:formulaRef>
                      </c:ext>
                    </c:extLst>
                    <c:numCache>
                      <c:formatCode>General</c:formatCode>
                      <c:ptCount val="5"/>
                      <c:pt idx="0">
                        <c:v>0.7558</c:v>
                      </c:pt>
                      <c:pt idx="1">
                        <c:v>0.43875</c:v>
                      </c:pt>
                      <c:pt idx="2">
                        <c:v>0.20657</c:v>
                      </c:pt>
                      <c:pt idx="3">
                        <c:v>0.07526</c:v>
                      </c:pt>
                      <c:pt idx="4">
                        <c:v>0.02162</c:v>
                      </c:pt>
                    </c:numCache>
                  </c:numRef>
                </c:val>
                <c:smooth val="0"/>
              </c15:ser>
            </c15:filteredLineSeries>
            <c15:filteredLineSeries>
              <c15:ser>
                <c:idx val="10"/>
                <c:order val="10"/>
                <c:tx>
                  <c:strRef>
                    <c:extLst>
                      <c:ext uri="{02D57815-91ED-43cb-92C2-25804820EDAC}">
                        <c15:formulaRef>
                          <c15:sqref>'[Coverage enhancement仿真结果.xlsx]20200114-无跳频'!$A$531</c15:sqref>
                        </c15:formulaRef>
                      </c:ext>
                    </c:extLst>
                    <c:strCache>
                      <c:ptCount val="1"/>
                      <c:pt idx="0">
                        <c:v>Case 6:DMRS pattern 4 w/ joint channel estimation, w/ DMRS optimization, w/o RFE, MCS0</c:v>
                      </c:pt>
                    </c:strCache>
                  </c:strRef>
                </c:tx>
                <c:spPr>
                  <a:ln w="28575" cap="rnd" cmpd="sng">
                    <a:solidFill>
                      <a:schemeClr val="accent5">
                        <a:lumMod val="60000"/>
                      </a:schemeClr>
                    </a:solidFill>
                    <a:prstDash val="sysDot"/>
                    <a:round/>
                  </a:ln>
                  <a:effectLst/>
                  <a:sp3d contourW="28575"/>
                </c:spPr>
                <c:marker>
                  <c:symbol val="circle"/>
                  <c:size val="5"/>
                  <c:spPr>
                    <a:solidFill>
                      <a:schemeClr val="accent5">
                        <a:lumMod val="60000"/>
                      </a:schemeClr>
                    </a:solidFill>
                    <a:ln w="9525">
                      <a:solidFill>
                        <a:schemeClr val="accent5">
                          <a:lumMod val="60000"/>
                        </a:schemeClr>
                      </a:solidFill>
                    </a:ln>
                    <a:effectLst/>
                  </c:spPr>
                </c:marker>
                <c:dLbls>
                  <c:delete val="1"/>
                </c:dLbls>
                <c:cat>
                  <c:numRef>
                    <c:extLst>
                      <c:ext uri="{02D57815-91ED-43cb-92C2-25804820EDAC}">
                        <c15:fullRef>
                          <c15:sqref>'[Coverage enhancement仿真结果.xlsx]20200114-无跳频'!$B$520:$G$520</c15:sqref>
                        </c15:fullRef>
                        <c15:formulaRef>
                          <c15:sqref>'[Coverage enhancement仿真结果.xlsx]20200114-无跳频'!$B$520:$F$520</c15:sqref>
                        </c15:formulaRef>
                      </c:ext>
                    </c:extLst>
                    <c:numCache>
                      <c:formatCode>General</c:formatCode>
                      <c:ptCount val="5"/>
                      <c:pt idx="0">
                        <c:v>-20</c:v>
                      </c:pt>
                      <c:pt idx="1">
                        <c:v>-18</c:v>
                      </c:pt>
                      <c:pt idx="2">
                        <c:v>-16</c:v>
                      </c:pt>
                      <c:pt idx="3">
                        <c:v>-14</c:v>
                      </c:pt>
                      <c:pt idx="4">
                        <c:v>-12</c:v>
                      </c:pt>
                    </c:numCache>
                  </c:numRef>
                </c:cat>
                <c:val>
                  <c:numRef>
                    <c:extLst>
                      <c:ext uri="{02D57815-91ED-43cb-92C2-25804820EDAC}">
                        <c15:fullRef>
                          <c15:sqref>'20200114-无跳频'!$B$531:$G$531</c15:sqref>
                        </c15:fullRef>
                        <c15:formulaRef>
                          <c15:sqref>{0.63571,0.31785,0.1193,0.04243,0.01121}</c15:sqref>
                        </c15:formulaRef>
                      </c:ext>
                    </c:extLst>
                    <c:numCache>
                      <c:formatCode>General</c:formatCode>
                      <c:ptCount val="5"/>
                      <c:pt idx="0">
                        <c:v>0.63571</c:v>
                      </c:pt>
                      <c:pt idx="1">
                        <c:v>0.31785</c:v>
                      </c:pt>
                      <c:pt idx="2">
                        <c:v>0.1193</c:v>
                      </c:pt>
                      <c:pt idx="3">
                        <c:v>0.04243</c:v>
                      </c:pt>
                      <c:pt idx="4">
                        <c:v>0.01121</c:v>
                      </c:pt>
                    </c:numCache>
                  </c:numRef>
                </c:val>
                <c:smooth val="0"/>
              </c15:ser>
            </c15:filteredLineSeries>
            <c15:filteredLineSeries>
              <c15:ser>
                <c:idx val="11"/>
                <c:order val="11"/>
                <c:tx>
                  <c:strRef>
                    <c:extLst>
                      <c:ext uri="{02D57815-91ED-43cb-92C2-25804820EDAC}">
                        <c15:formulaRef>
                          <c15:sqref>'[Coverage enhancement仿真结果.xlsx]20200114-无跳频'!$A$532</c15:sqref>
                        </c15:formulaRef>
                      </c:ext>
                    </c:extLst>
                    <c:strCache>
                      <c:ptCount val="1"/>
                      <c:pt idx="0">
                        <c:v>Case 6:DMRS pattern 4 w/ joint channel estimation, w/ DMRS optimization, w/ RFE, MCS0</c:v>
                      </c:pt>
                    </c:strCache>
                  </c:strRef>
                </c:tx>
                <c:spPr>
                  <a:ln w="28575" cap="rnd" cmpd="sng">
                    <a:solidFill>
                      <a:schemeClr val="accent5">
                        <a:lumMod val="75000"/>
                      </a:schemeClr>
                    </a:solidFill>
                    <a:prstDash val="solid"/>
                    <a:round/>
                  </a:ln>
                  <a:effectLst/>
                  <a:sp3d contourW="28575"/>
                </c:spPr>
                <c:marker>
                  <c:symbol val="circle"/>
                  <c:size val="5"/>
                  <c:spPr>
                    <a:solidFill>
                      <a:schemeClr val="accent5">
                        <a:lumMod val="75000"/>
                      </a:schemeClr>
                    </a:solidFill>
                    <a:ln w="9525">
                      <a:solidFill>
                        <a:schemeClr val="accent5">
                          <a:lumMod val="75000"/>
                        </a:schemeClr>
                      </a:solidFill>
                    </a:ln>
                    <a:effectLst/>
                  </c:spPr>
                </c:marker>
                <c:dLbls>
                  <c:delete val="1"/>
                </c:dLbls>
                <c:cat>
                  <c:numRef>
                    <c:extLst>
                      <c:ext uri="{02D57815-91ED-43cb-92C2-25804820EDAC}">
                        <c15:fullRef>
                          <c15:sqref>'[Coverage enhancement仿真结果.xlsx]20200114-无跳频'!$B$520:$G$520</c15:sqref>
                        </c15:fullRef>
                        <c15:formulaRef>
                          <c15:sqref>'[Coverage enhancement仿真结果.xlsx]20200114-无跳频'!$B$520:$F$520</c15:sqref>
                        </c15:formulaRef>
                      </c:ext>
                    </c:extLst>
                    <c:numCache>
                      <c:formatCode>General</c:formatCode>
                      <c:ptCount val="5"/>
                      <c:pt idx="0">
                        <c:v>-20</c:v>
                      </c:pt>
                      <c:pt idx="1">
                        <c:v>-18</c:v>
                      </c:pt>
                      <c:pt idx="2">
                        <c:v>-16</c:v>
                      </c:pt>
                      <c:pt idx="3">
                        <c:v>-14</c:v>
                      </c:pt>
                      <c:pt idx="4">
                        <c:v>-12</c:v>
                      </c:pt>
                    </c:numCache>
                  </c:numRef>
                </c:cat>
                <c:val>
                  <c:numRef>
                    <c:extLst>
                      <c:ext uri="{02D57815-91ED-43cb-92C2-25804820EDAC}">
                        <c15:fullRef>
                          <c15:sqref>'20200114-无跳频'!$B$532:$G$532</c15:sqref>
                        </c15:fullRef>
                        <c15:formulaRef>
                          <c15:sqref>{0.65092,0.32426,0.13531,0.04163,0.0121}</c15:sqref>
                        </c15:formulaRef>
                      </c:ext>
                    </c:extLst>
                    <c:numCache>
                      <c:formatCode>General</c:formatCode>
                      <c:ptCount val="5"/>
                      <c:pt idx="0">
                        <c:v>0.65092</c:v>
                      </c:pt>
                      <c:pt idx="1">
                        <c:v>0.32426</c:v>
                      </c:pt>
                      <c:pt idx="2">
                        <c:v>0.13531</c:v>
                      </c:pt>
                      <c:pt idx="3">
                        <c:v>0.04163</c:v>
                      </c:pt>
                      <c:pt idx="4">
                        <c:v>0.0121</c:v>
                      </c:pt>
                    </c:numCache>
                  </c:numRef>
                </c:val>
                <c:smooth val="0"/>
              </c15:ser>
            </c15:filteredLineSeries>
          </c:ext>
        </c:extLst>
      </c:lineChart>
      <c:catAx>
        <c:axId val="276343789"/>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80509578"/>
        <c:crossesAt val="0"/>
        <c:auto val="1"/>
        <c:lblAlgn val="ctr"/>
        <c:lblOffset val="100"/>
        <c:noMultiLvlLbl val="0"/>
      </c:catAx>
      <c:valAx>
        <c:axId val="980509578"/>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76343789"/>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Uma_4GHz_O2I</a:t>
            </a:r>
            <a:endParaRPr lang="en-US" altLang="zh-CN"/>
          </a:p>
        </c:rich>
      </c:tx>
      <c:layout/>
      <c:overlay val="0"/>
      <c:spPr>
        <a:noFill/>
        <a:ln>
          <a:noFill/>
        </a:ln>
        <a:effectLst/>
      </c:spPr>
    </c:title>
    <c:autoTitleDeleted val="0"/>
    <c:plotArea>
      <c:layout/>
      <c:lineChart>
        <c:grouping val="standard"/>
        <c:varyColors val="0"/>
        <c:ser>
          <c:idx val="1"/>
          <c:order val="1"/>
          <c:tx>
            <c:strRef>
              <c:f>'[Coverage enhancement仿真结果.xlsx]101e新增仿真结果'!$A$389</c:f>
              <c:strCache>
                <c:ptCount val="1"/>
                <c:pt idx="0">
                  <c:v>w/ joint channel estimation, w/ RFE</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f>'[Coverage enhancement仿真结果.xlsx]101e新增仿真结果'!$B$387:$H$387</c:f>
              <c:numCache>
                <c:formatCode>General</c:formatCode>
                <c:ptCount val="7"/>
                <c:pt idx="0">
                  <c:v>-15</c:v>
                </c:pt>
                <c:pt idx="1">
                  <c:v>-13.5</c:v>
                </c:pt>
                <c:pt idx="2">
                  <c:v>-12</c:v>
                </c:pt>
                <c:pt idx="3">
                  <c:v>-10.5</c:v>
                </c:pt>
                <c:pt idx="4">
                  <c:v>-9</c:v>
                </c:pt>
                <c:pt idx="5">
                  <c:v>-7.5</c:v>
                </c:pt>
                <c:pt idx="6">
                  <c:v>-6</c:v>
                </c:pt>
              </c:numCache>
            </c:numRef>
          </c:cat>
          <c:val>
            <c:numRef>
              <c:f>'[Coverage enhancement仿真结果.xlsx]101e新增仿真结果'!$B$389:$H$389</c:f>
              <c:numCache>
                <c:formatCode>General</c:formatCode>
                <c:ptCount val="7"/>
                <c:pt idx="0">
                  <c:v>0.82226</c:v>
                </c:pt>
                <c:pt idx="1">
                  <c:v>0.61649</c:v>
                </c:pt>
                <c:pt idx="2">
                  <c:v>0.41153</c:v>
                </c:pt>
                <c:pt idx="3">
                  <c:v>0.22098</c:v>
                </c:pt>
                <c:pt idx="4">
                  <c:v>0.1257</c:v>
                </c:pt>
                <c:pt idx="5">
                  <c:v>0.07606</c:v>
                </c:pt>
                <c:pt idx="6">
                  <c:v>0.02722</c:v>
                </c:pt>
              </c:numCache>
            </c:numRef>
          </c:val>
          <c:smooth val="0"/>
        </c:ser>
        <c:ser>
          <c:idx val="2"/>
          <c:order val="2"/>
          <c:tx>
            <c:strRef>
              <c:f>'[Coverage enhancement仿真结果.xlsx]101e新增仿真结果'!$A$390</c:f>
              <c:strCache>
                <c:ptCount val="1"/>
                <c:pt idx="0">
                  <c:v>w/ joint channel estimation, w/o RFE</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f>'[Coverage enhancement仿真结果.xlsx]101e新增仿真结果'!$B$387:$H$387</c:f>
              <c:numCache>
                <c:formatCode>General</c:formatCode>
                <c:ptCount val="7"/>
                <c:pt idx="0">
                  <c:v>-15</c:v>
                </c:pt>
                <c:pt idx="1">
                  <c:v>-13.5</c:v>
                </c:pt>
                <c:pt idx="2">
                  <c:v>-12</c:v>
                </c:pt>
                <c:pt idx="3">
                  <c:v>-10.5</c:v>
                </c:pt>
                <c:pt idx="4">
                  <c:v>-9</c:v>
                </c:pt>
                <c:pt idx="5">
                  <c:v>-7.5</c:v>
                </c:pt>
                <c:pt idx="6">
                  <c:v>-6</c:v>
                </c:pt>
              </c:numCache>
            </c:numRef>
          </c:cat>
          <c:val>
            <c:numRef>
              <c:f>'[Coverage enhancement仿真结果.xlsx]101e新增仿真结果'!$B$390:$H$390</c:f>
              <c:numCache>
                <c:formatCode>General</c:formatCode>
                <c:ptCount val="7"/>
                <c:pt idx="0">
                  <c:v>0.31625</c:v>
                </c:pt>
                <c:pt idx="1">
                  <c:v>0.16493</c:v>
                </c:pt>
                <c:pt idx="2">
                  <c:v>0.07286</c:v>
                </c:pt>
                <c:pt idx="3">
                  <c:v>0.03042</c:v>
                </c:pt>
                <c:pt idx="4">
                  <c:v>0.00721</c:v>
                </c:pt>
                <c:pt idx="5">
                  <c:v>0.0008</c:v>
                </c:pt>
                <c:pt idx="6">
                  <c:v>0</c:v>
                </c:pt>
              </c:numCache>
            </c:numRef>
          </c:val>
          <c:smooth val="0"/>
        </c:ser>
        <c:dLbls>
          <c:showLegendKey val="0"/>
          <c:showVal val="0"/>
          <c:showCatName val="0"/>
          <c:showSerName val="0"/>
          <c:showPercent val="0"/>
          <c:showBubbleSize val="0"/>
        </c:dLbls>
        <c:marker val="1"/>
        <c:smooth val="0"/>
        <c:axId val="39078308"/>
        <c:axId val="296976829"/>
        <c:extLst>
          <c:ext xmlns:c15="http://schemas.microsoft.com/office/drawing/2012/chart" uri="{02D57815-91ED-43cb-92C2-25804820EDAC}">
            <c15:filteredLineSeries>
              <c15:ser>
                <c:idx val="0"/>
                <c:order val="0"/>
                <c:tx>
                  <c:strRef>
                    <c:extLst>
                      <c:ext uri="{02D57815-91ED-43cb-92C2-25804820EDAC}">
                        <c15:formulaRef>
                          <c15:sqref>'[Coverage enhancement仿真结果.xlsx]101e新增仿真结果'!$A$388</c15:sqref>
                        </c15:formulaRef>
                      </c:ext>
                    </c:extLst>
                    <c:strCache>
                      <c:ptCount val="1"/>
                      <c:pt idx="0">
                        <c:v>8 repetitions w/ FO</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extLst>
                      <c:ext uri="{02D57815-91ED-43cb-92C2-25804820EDAC}">
                        <c15:fullRef>
                          <c15:sqref/>
                        </c15:fullRef>
                        <c15:formulaRef>
                          <c15:sqref>'[Coverage enhancement仿真结果.xlsx]101e新增仿真结果'!$B$387:$H$387</c15:sqref>
                        </c15:formulaRef>
                      </c:ext>
                    </c:extLst>
                    <c:numCache>
                      <c:formatCode>General</c:formatCode>
                      <c:ptCount val="7"/>
                      <c:pt idx="0">
                        <c:v>-15</c:v>
                      </c:pt>
                      <c:pt idx="1">
                        <c:v>-13.5</c:v>
                      </c:pt>
                      <c:pt idx="2">
                        <c:v>-12</c:v>
                      </c:pt>
                      <c:pt idx="3">
                        <c:v>-10.5</c:v>
                      </c:pt>
                      <c:pt idx="4">
                        <c:v>-9</c:v>
                      </c:pt>
                      <c:pt idx="5">
                        <c:v>-7.5</c:v>
                      </c:pt>
                      <c:pt idx="6">
                        <c:v>-6</c:v>
                      </c:pt>
                    </c:numCache>
                  </c:numRef>
                </c:cat>
                <c:val>
                  <c:numRef>
                    <c:extLst>
                      <c:ext uri="{02D57815-91ED-43cb-92C2-25804820EDAC}">
                        <c15:formulaRef>
                          <c15:sqref>{0.66773,0.38271,0.18415,0.08887,0.04404,0.01761,0}</c15:sqref>
                        </c15:formulaRef>
                      </c:ext>
                    </c:extLst>
                    <c:numCache>
                      <c:formatCode>General</c:formatCode>
                      <c:ptCount val="7"/>
                      <c:pt idx="0">
                        <c:v>0.66773</c:v>
                      </c:pt>
                      <c:pt idx="1">
                        <c:v>0.38271</c:v>
                      </c:pt>
                      <c:pt idx="2">
                        <c:v>0.18415</c:v>
                      </c:pt>
                      <c:pt idx="3">
                        <c:v>0.08887</c:v>
                      </c:pt>
                      <c:pt idx="4">
                        <c:v>0.04404</c:v>
                      </c:pt>
                      <c:pt idx="5">
                        <c:v>0.01761</c:v>
                      </c:pt>
                      <c:pt idx="6">
                        <c:v>0</c:v>
                      </c:pt>
                    </c:numCache>
                  </c:numRef>
                </c:val>
                <c:smooth val="0"/>
              </c15:ser>
            </c15:filteredLineSeries>
          </c:ext>
        </c:extLst>
      </c:lineChart>
      <c:catAx>
        <c:axId val="39078308"/>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96976829"/>
        <c:crossesAt val="0"/>
        <c:auto val="1"/>
        <c:lblAlgn val="ctr"/>
        <c:lblOffset val="100"/>
        <c:noMultiLvlLbl val="0"/>
      </c:catAx>
      <c:valAx>
        <c:axId val="296976829"/>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9078308"/>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700MHz_O2I</a:t>
            </a:r>
            <a:endParaRPr lang="en-US" altLang="zh-CN"/>
          </a:p>
        </c:rich>
      </c:tx>
      <c:layout/>
      <c:overlay val="0"/>
      <c:spPr>
        <a:noFill/>
        <a:ln>
          <a:noFill/>
        </a:ln>
        <a:effectLst/>
      </c:spPr>
    </c:title>
    <c:autoTitleDeleted val="0"/>
    <c:plotArea>
      <c:layout/>
      <c:lineChart>
        <c:grouping val="standard"/>
        <c:varyColors val="0"/>
        <c:ser>
          <c:idx val="0"/>
          <c:order val="0"/>
          <c:tx>
            <c:strRef>
              <c:f>'[Coverage enhancement仿真结果.xlsx]101e新增仿真结果'!$A$553</c:f>
              <c:strCache>
                <c:ptCount val="1"/>
                <c:pt idx="0">
                  <c:v>Baseline</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f>'[Coverage enhancement仿真结果.xlsx]101e新增仿真结果'!$B$552:$V$552</c:f>
              <c:numCache>
                <c:formatCode>General</c:formatCode>
                <c:ptCount val="21"/>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pt idx="15">
                  <c:v>7.5</c:v>
                </c:pt>
                <c:pt idx="16">
                  <c:v>9</c:v>
                </c:pt>
                <c:pt idx="17">
                  <c:v>10.5</c:v>
                </c:pt>
                <c:pt idx="18">
                  <c:v>12</c:v>
                </c:pt>
                <c:pt idx="19">
                  <c:v>13.5</c:v>
                </c:pt>
                <c:pt idx="20">
                  <c:v>15</c:v>
                </c:pt>
              </c:numCache>
            </c:numRef>
          </c:cat>
          <c:val>
            <c:numRef>
              <c:f>'[Coverage enhancement仿真结果.xlsx]101e新增仿真结果'!$B$553:$V$553</c:f>
              <c:numCache>
                <c:formatCode>General</c:formatCode>
                <c:ptCount val="21"/>
                <c:pt idx="0">
                  <c:v>0.94494</c:v>
                </c:pt>
                <c:pt idx="1">
                  <c:v>0.81702</c:v>
                </c:pt>
                <c:pt idx="2">
                  <c:v>0.603</c:v>
                </c:pt>
                <c:pt idx="3">
                  <c:v>0.35375</c:v>
                </c:pt>
                <c:pt idx="4">
                  <c:v>0.17678</c:v>
                </c:pt>
                <c:pt idx="5">
                  <c:v>0.08208</c:v>
                </c:pt>
                <c:pt idx="6">
                  <c:v>0.03624</c:v>
                </c:pt>
                <c:pt idx="7">
                  <c:v>0.00901</c:v>
                </c:pt>
                <c:pt idx="8">
                  <c:v>0</c:v>
                </c:pt>
              </c:numCache>
            </c:numRef>
          </c:val>
          <c:smooth val="0"/>
        </c:ser>
        <c:ser>
          <c:idx val="1"/>
          <c:order val="1"/>
          <c:tx>
            <c:strRef>
              <c:f>'[Coverage enhancement仿真结果.xlsx]101e新增仿真结果'!$A$554</c:f>
              <c:strCache>
                <c:ptCount val="1"/>
                <c:pt idx="0">
                  <c:v>Phase error = 10°</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f>'[Coverage enhancement仿真结果.xlsx]101e新增仿真结果'!$B$552:$V$552</c:f>
              <c:numCache>
                <c:formatCode>General</c:formatCode>
                <c:ptCount val="21"/>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pt idx="15">
                  <c:v>7.5</c:v>
                </c:pt>
                <c:pt idx="16">
                  <c:v>9</c:v>
                </c:pt>
                <c:pt idx="17">
                  <c:v>10.5</c:v>
                </c:pt>
                <c:pt idx="18">
                  <c:v>12</c:v>
                </c:pt>
                <c:pt idx="19">
                  <c:v>13.5</c:v>
                </c:pt>
                <c:pt idx="20">
                  <c:v>15</c:v>
                </c:pt>
              </c:numCache>
            </c:numRef>
          </c:cat>
          <c:val>
            <c:numRef>
              <c:f>'[Coverage enhancement仿真结果.xlsx]101e新增仿真结果'!$B$554:$V$554</c:f>
              <c:numCache>
                <c:formatCode>General</c:formatCode>
                <c:ptCount val="21"/>
                <c:pt idx="0">
                  <c:v>0.95095</c:v>
                </c:pt>
                <c:pt idx="1">
                  <c:v>0.82201</c:v>
                </c:pt>
                <c:pt idx="2">
                  <c:v>0.60601</c:v>
                </c:pt>
                <c:pt idx="3">
                  <c:v>0.36116</c:v>
                </c:pt>
                <c:pt idx="4">
                  <c:v>0.18779</c:v>
                </c:pt>
                <c:pt idx="5">
                  <c:v>0.08288</c:v>
                </c:pt>
                <c:pt idx="6">
                  <c:v>0.03584</c:v>
                </c:pt>
                <c:pt idx="7">
                  <c:v>0.01001</c:v>
                </c:pt>
                <c:pt idx="8">
                  <c:v>0.0002</c:v>
                </c:pt>
              </c:numCache>
            </c:numRef>
          </c:val>
          <c:smooth val="0"/>
        </c:ser>
        <c:ser>
          <c:idx val="2"/>
          <c:order val="2"/>
          <c:tx>
            <c:strRef>
              <c:f>'[Coverage enhancement仿真结果.xlsx]101e新增仿真结果'!$A$555</c:f>
              <c:strCache>
                <c:ptCount val="1"/>
                <c:pt idx="0">
                  <c:v>Phase error = 30°</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f>'[Coverage enhancement仿真结果.xlsx]101e新增仿真结果'!$B$552:$V$552</c:f>
              <c:numCache>
                <c:formatCode>General</c:formatCode>
                <c:ptCount val="21"/>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pt idx="15">
                  <c:v>7.5</c:v>
                </c:pt>
                <c:pt idx="16">
                  <c:v>9</c:v>
                </c:pt>
                <c:pt idx="17">
                  <c:v>10.5</c:v>
                </c:pt>
                <c:pt idx="18">
                  <c:v>12</c:v>
                </c:pt>
                <c:pt idx="19">
                  <c:v>13.5</c:v>
                </c:pt>
                <c:pt idx="20">
                  <c:v>15</c:v>
                </c:pt>
              </c:numCache>
            </c:numRef>
          </c:cat>
          <c:val>
            <c:numRef>
              <c:f>'[Coverage enhancement仿真结果.xlsx]101e新增仿真结果'!$B$555:$V$555</c:f>
              <c:numCache>
                <c:formatCode>General</c:formatCode>
                <c:ptCount val="21"/>
                <c:pt idx="0">
                  <c:v>0.96797</c:v>
                </c:pt>
                <c:pt idx="1">
                  <c:v>0.85786</c:v>
                </c:pt>
                <c:pt idx="2">
                  <c:v>0.66106</c:v>
                </c:pt>
                <c:pt idx="3">
                  <c:v>0.40641</c:v>
                </c:pt>
                <c:pt idx="4">
                  <c:v>0.21762</c:v>
                </c:pt>
                <c:pt idx="5">
                  <c:v>0.1031</c:v>
                </c:pt>
                <c:pt idx="6">
                  <c:v>0.04565</c:v>
                </c:pt>
                <c:pt idx="7">
                  <c:v>0.01662</c:v>
                </c:pt>
                <c:pt idx="8">
                  <c:v>0.0008</c:v>
                </c:pt>
              </c:numCache>
            </c:numRef>
          </c:val>
          <c:smooth val="0"/>
        </c:ser>
        <c:ser>
          <c:idx val="3"/>
          <c:order val="3"/>
          <c:tx>
            <c:strRef>
              <c:f>'[Coverage enhancement仿真结果.xlsx]101e新增仿真结果'!$A$556</c:f>
              <c:strCache>
                <c:ptCount val="1"/>
                <c:pt idx="0">
                  <c:v>Phase error = 50°</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delete val="1"/>
          </c:dLbls>
          <c:cat>
            <c:numRef>
              <c:f>'[Coverage enhancement仿真结果.xlsx]101e新增仿真结果'!$B$552:$V$552</c:f>
              <c:numCache>
                <c:formatCode>General</c:formatCode>
                <c:ptCount val="21"/>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pt idx="15">
                  <c:v>7.5</c:v>
                </c:pt>
                <c:pt idx="16">
                  <c:v>9</c:v>
                </c:pt>
                <c:pt idx="17">
                  <c:v>10.5</c:v>
                </c:pt>
                <c:pt idx="18">
                  <c:v>12</c:v>
                </c:pt>
                <c:pt idx="19">
                  <c:v>13.5</c:v>
                </c:pt>
                <c:pt idx="20">
                  <c:v>15</c:v>
                </c:pt>
              </c:numCache>
            </c:numRef>
          </c:cat>
          <c:val>
            <c:numRef>
              <c:f>'[Coverage enhancement仿真结果.xlsx]101e新增仿真结果'!$B$556:$V$556</c:f>
              <c:numCache>
                <c:formatCode>General</c:formatCode>
                <c:ptCount val="21"/>
                <c:pt idx="0">
                  <c:v>0.98839</c:v>
                </c:pt>
                <c:pt idx="1">
                  <c:v>0.91371</c:v>
                </c:pt>
                <c:pt idx="2">
                  <c:v>0.76016</c:v>
                </c:pt>
                <c:pt idx="3">
                  <c:v>0.52953</c:v>
                </c:pt>
                <c:pt idx="4">
                  <c:v>0.3027</c:v>
                </c:pt>
                <c:pt idx="5">
                  <c:v>0.15055</c:v>
                </c:pt>
                <c:pt idx="6">
                  <c:v>0.06446</c:v>
                </c:pt>
                <c:pt idx="7">
                  <c:v>0.02943</c:v>
                </c:pt>
                <c:pt idx="8">
                  <c:v>0.00641</c:v>
                </c:pt>
                <c:pt idx="9">
                  <c:v>0.0004</c:v>
                </c:pt>
              </c:numCache>
            </c:numRef>
          </c:val>
          <c:smooth val="0"/>
        </c:ser>
        <c:ser>
          <c:idx val="4"/>
          <c:order val="4"/>
          <c:tx>
            <c:strRef>
              <c:f>'[Coverage enhancement仿真结果.xlsx]101e新增仿真结果'!$A$557</c:f>
              <c:strCache>
                <c:ptCount val="1"/>
                <c:pt idx="0">
                  <c:v>Phase error = 70°</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dLbls>
            <c:delete val="1"/>
          </c:dLbls>
          <c:cat>
            <c:numRef>
              <c:f>'[Coverage enhancement仿真结果.xlsx]101e新增仿真结果'!$B$552:$V$552</c:f>
              <c:numCache>
                <c:formatCode>General</c:formatCode>
                <c:ptCount val="21"/>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pt idx="15">
                  <c:v>7.5</c:v>
                </c:pt>
                <c:pt idx="16">
                  <c:v>9</c:v>
                </c:pt>
                <c:pt idx="17">
                  <c:v>10.5</c:v>
                </c:pt>
                <c:pt idx="18">
                  <c:v>12</c:v>
                </c:pt>
                <c:pt idx="19">
                  <c:v>13.5</c:v>
                </c:pt>
                <c:pt idx="20">
                  <c:v>15</c:v>
                </c:pt>
              </c:numCache>
            </c:numRef>
          </c:cat>
          <c:val>
            <c:numRef>
              <c:f>'[Coverage enhancement仿真结果.xlsx]101e新增仿真结果'!$B$557:$V$557</c:f>
              <c:numCache>
                <c:formatCode>General</c:formatCode>
                <c:ptCount val="21"/>
                <c:pt idx="0">
                  <c:v>0.9996</c:v>
                </c:pt>
                <c:pt idx="1">
                  <c:v>0.97738</c:v>
                </c:pt>
                <c:pt idx="2">
                  <c:v>0.88989</c:v>
                </c:pt>
                <c:pt idx="3">
                  <c:v>0.71932</c:v>
                </c:pt>
                <c:pt idx="4">
                  <c:v>0.48408</c:v>
                </c:pt>
                <c:pt idx="5">
                  <c:v>0.26967</c:v>
                </c:pt>
                <c:pt idx="6">
                  <c:v>0.13173</c:v>
                </c:pt>
                <c:pt idx="7">
                  <c:v>0.05806</c:v>
                </c:pt>
                <c:pt idx="8">
                  <c:v>0.02382</c:v>
                </c:pt>
                <c:pt idx="9">
                  <c:v>0.00521</c:v>
                </c:pt>
              </c:numCache>
            </c:numRef>
          </c:val>
          <c:smooth val="0"/>
        </c:ser>
        <c:ser>
          <c:idx val="5"/>
          <c:order val="5"/>
          <c:tx>
            <c:strRef>
              <c:f>'[Coverage enhancement仿真结果.xlsx]101e新增仿真结果'!$A$558</c:f>
              <c:strCache>
                <c:ptCount val="1"/>
                <c:pt idx="0">
                  <c:v>Phase error = 90°</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dLbls>
            <c:delete val="1"/>
          </c:dLbls>
          <c:cat>
            <c:numRef>
              <c:f>'[Coverage enhancement仿真结果.xlsx]101e新增仿真结果'!$B$552:$V$552</c:f>
              <c:numCache>
                <c:formatCode>General</c:formatCode>
                <c:ptCount val="21"/>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pt idx="15">
                  <c:v>7.5</c:v>
                </c:pt>
                <c:pt idx="16">
                  <c:v>9</c:v>
                </c:pt>
                <c:pt idx="17">
                  <c:v>10.5</c:v>
                </c:pt>
                <c:pt idx="18">
                  <c:v>12</c:v>
                </c:pt>
                <c:pt idx="19">
                  <c:v>13.5</c:v>
                </c:pt>
                <c:pt idx="20">
                  <c:v>15</c:v>
                </c:pt>
              </c:numCache>
            </c:numRef>
          </c:cat>
          <c:val>
            <c:numRef>
              <c:f>'[Coverage enhancement仿真结果.xlsx]101e新增仿真结果'!$B$558:$V$558</c:f>
              <c:numCache>
                <c:formatCode>General</c:formatCode>
                <c:ptCount val="21"/>
                <c:pt idx="0">
                  <c:v>0.9998</c:v>
                </c:pt>
                <c:pt idx="1">
                  <c:v>0.9994</c:v>
                </c:pt>
                <c:pt idx="2">
                  <c:v>0.98859</c:v>
                </c:pt>
                <c:pt idx="3">
                  <c:v>0.91211</c:v>
                </c:pt>
                <c:pt idx="4">
                  <c:v>0.76577</c:v>
                </c:pt>
                <c:pt idx="5">
                  <c:v>0.54434</c:v>
                </c:pt>
                <c:pt idx="6">
                  <c:v>0.32272</c:v>
                </c:pt>
                <c:pt idx="7">
                  <c:v>0.16496</c:v>
                </c:pt>
                <c:pt idx="8">
                  <c:v>0.07447</c:v>
                </c:pt>
                <c:pt idx="9">
                  <c:v>0.03303</c:v>
                </c:pt>
                <c:pt idx="10">
                  <c:v>0.00901</c:v>
                </c:pt>
              </c:numCache>
            </c:numRef>
          </c:val>
          <c:smooth val="0"/>
        </c:ser>
        <c:ser>
          <c:idx val="6"/>
          <c:order val="6"/>
          <c:tx>
            <c:strRef>
              <c:f>'[Coverage enhancement仿真结果.xlsx]101e新增仿真结果'!$A$559</c:f>
              <c:strCache>
                <c:ptCount val="1"/>
                <c:pt idx="0">
                  <c:v>Phase error = 110°</c:v>
                </c:pt>
              </c:strCache>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dLbls>
            <c:delete val="1"/>
          </c:dLbls>
          <c:cat>
            <c:numRef>
              <c:f>'[Coverage enhancement仿真结果.xlsx]101e新增仿真结果'!$B$552:$V$552</c:f>
              <c:numCache>
                <c:formatCode>General</c:formatCode>
                <c:ptCount val="21"/>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pt idx="15">
                  <c:v>7.5</c:v>
                </c:pt>
                <c:pt idx="16">
                  <c:v>9</c:v>
                </c:pt>
                <c:pt idx="17">
                  <c:v>10.5</c:v>
                </c:pt>
                <c:pt idx="18">
                  <c:v>12</c:v>
                </c:pt>
                <c:pt idx="19">
                  <c:v>13.5</c:v>
                </c:pt>
                <c:pt idx="20">
                  <c:v>15</c:v>
                </c:pt>
              </c:numCache>
            </c:numRef>
          </c:cat>
          <c:val>
            <c:numRef>
              <c:f>'[Coverage enhancement仿真结果.xlsx]101e新增仿真结果'!$B$559:$V$559</c:f>
              <c:numCache>
                <c:formatCode>General</c:formatCode>
                <c:ptCount val="21"/>
                <c:pt idx="0">
                  <c:v>1</c:v>
                </c:pt>
                <c:pt idx="1">
                  <c:v>1</c:v>
                </c:pt>
                <c:pt idx="2">
                  <c:v>1</c:v>
                </c:pt>
                <c:pt idx="3">
                  <c:v>0.9992</c:v>
                </c:pt>
                <c:pt idx="4">
                  <c:v>0.98779</c:v>
                </c:pt>
                <c:pt idx="5">
                  <c:v>0.92232</c:v>
                </c:pt>
                <c:pt idx="6">
                  <c:v>0.79179</c:v>
                </c:pt>
                <c:pt idx="7">
                  <c:v>0.58679</c:v>
                </c:pt>
                <c:pt idx="8">
                  <c:v>0.36316</c:v>
                </c:pt>
                <c:pt idx="9">
                  <c:v>0.19479</c:v>
                </c:pt>
                <c:pt idx="10">
                  <c:v>0.09269</c:v>
                </c:pt>
                <c:pt idx="11">
                  <c:v>0.03884</c:v>
                </c:pt>
                <c:pt idx="12">
                  <c:v>0.01341</c:v>
                </c:pt>
                <c:pt idx="13">
                  <c:v>0.0024</c:v>
                </c:pt>
              </c:numCache>
            </c:numRef>
          </c:val>
          <c:smooth val="0"/>
        </c:ser>
        <c:ser>
          <c:idx val="7"/>
          <c:order val="7"/>
          <c:tx>
            <c:strRef>
              <c:f>'[Coverage enhancement仿真结果.xlsx]101e新增仿真结果'!$A$560</c:f>
              <c:strCache>
                <c:ptCount val="1"/>
                <c:pt idx="0">
                  <c:v>Phase error = 130°</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dLbls>
            <c:delete val="1"/>
          </c:dLbls>
          <c:cat>
            <c:numRef>
              <c:f>'[Coverage enhancement仿真结果.xlsx]101e新增仿真结果'!$B$552:$V$552</c:f>
              <c:numCache>
                <c:formatCode>General</c:formatCode>
                <c:ptCount val="21"/>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pt idx="15">
                  <c:v>7.5</c:v>
                </c:pt>
                <c:pt idx="16">
                  <c:v>9</c:v>
                </c:pt>
                <c:pt idx="17">
                  <c:v>10.5</c:v>
                </c:pt>
                <c:pt idx="18">
                  <c:v>12</c:v>
                </c:pt>
                <c:pt idx="19">
                  <c:v>13.5</c:v>
                </c:pt>
                <c:pt idx="20">
                  <c:v>15</c:v>
                </c:pt>
              </c:numCache>
            </c:numRef>
          </c:cat>
          <c:val>
            <c:numRef>
              <c:f>'[Coverage enhancement仿真结果.xlsx]101e新增仿真结果'!$B$560:$V$560</c:f>
              <c:numCache>
                <c:formatCode>General</c:formatCode>
                <c:ptCount val="21"/>
                <c:pt idx="0">
                  <c:v>1</c:v>
                </c:pt>
                <c:pt idx="1">
                  <c:v>1</c:v>
                </c:pt>
                <c:pt idx="2">
                  <c:v>1</c:v>
                </c:pt>
                <c:pt idx="3">
                  <c:v>1</c:v>
                </c:pt>
                <c:pt idx="4">
                  <c:v>1</c:v>
                </c:pt>
                <c:pt idx="5">
                  <c:v>1</c:v>
                </c:pt>
                <c:pt idx="6">
                  <c:v>1</c:v>
                </c:pt>
                <c:pt idx="7">
                  <c:v>1</c:v>
                </c:pt>
                <c:pt idx="8">
                  <c:v>1</c:v>
                </c:pt>
                <c:pt idx="9">
                  <c:v>0.99279</c:v>
                </c:pt>
                <c:pt idx="10">
                  <c:v>0.96817</c:v>
                </c:pt>
                <c:pt idx="11">
                  <c:v>0.9031</c:v>
                </c:pt>
                <c:pt idx="12">
                  <c:v>0.77417</c:v>
                </c:pt>
                <c:pt idx="13">
                  <c:v>0.57377</c:v>
                </c:pt>
                <c:pt idx="14">
                  <c:v>0.35055</c:v>
                </c:pt>
                <c:pt idx="15">
                  <c:v>0.15175</c:v>
                </c:pt>
                <c:pt idx="16">
                  <c:v>0.04024</c:v>
                </c:pt>
              </c:numCache>
            </c:numRef>
          </c:val>
          <c:smooth val="0"/>
        </c:ser>
        <c:ser>
          <c:idx val="8"/>
          <c:order val="8"/>
          <c:tx>
            <c:strRef>
              <c:f>'[Coverage enhancement仿真结果.xlsx]101e新增仿真结果'!$A$561</c:f>
              <c:strCache>
                <c:ptCount val="1"/>
                <c:pt idx="0">
                  <c:v>Phase error = 150°</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dLbls>
            <c:delete val="1"/>
          </c:dLbls>
          <c:cat>
            <c:numRef>
              <c:f>'[Coverage enhancement仿真结果.xlsx]101e新增仿真结果'!$B$552:$V$552</c:f>
              <c:numCache>
                <c:formatCode>General</c:formatCode>
                <c:ptCount val="21"/>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pt idx="15">
                  <c:v>7.5</c:v>
                </c:pt>
                <c:pt idx="16">
                  <c:v>9</c:v>
                </c:pt>
                <c:pt idx="17">
                  <c:v>10.5</c:v>
                </c:pt>
                <c:pt idx="18">
                  <c:v>12</c:v>
                </c:pt>
                <c:pt idx="19">
                  <c:v>13.5</c:v>
                </c:pt>
                <c:pt idx="20">
                  <c:v>15</c:v>
                </c:pt>
              </c:numCache>
            </c:numRef>
          </c:cat>
          <c:val>
            <c:numRef>
              <c:f>'[Coverage enhancement仿真结果.xlsx]101e新增仿真结果'!$B$561:$V$561</c:f>
              <c:numCache>
                <c:formatCode>General</c:formatCode>
                <c:ptCount val="21"/>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0.9976</c:v>
                </c:pt>
                <c:pt idx="19">
                  <c:v>0.26567</c:v>
                </c:pt>
                <c:pt idx="20">
                  <c:v>0.038</c:v>
                </c:pt>
              </c:numCache>
            </c:numRef>
          </c:val>
          <c:smooth val="0"/>
        </c:ser>
        <c:dLbls>
          <c:showLegendKey val="0"/>
          <c:showVal val="0"/>
          <c:showCatName val="0"/>
          <c:showSerName val="0"/>
          <c:showPercent val="0"/>
          <c:showBubbleSize val="0"/>
        </c:dLbls>
        <c:marker val="1"/>
        <c:smooth val="0"/>
        <c:axId val="282538031"/>
        <c:axId val="217004905"/>
      </c:lineChart>
      <c:catAx>
        <c:axId val="282538031"/>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17004905"/>
        <c:crossesAt val="0"/>
        <c:auto val="1"/>
        <c:lblAlgn val="ctr"/>
        <c:lblOffset val="100"/>
        <c:noMultiLvlLbl val="0"/>
      </c:catAx>
      <c:valAx>
        <c:axId val="217004905"/>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0.00E+00" sourceLinked="0"/>
        <c:majorTickMark val="none"/>
        <c:minorTickMark val="none"/>
        <c:tickLblPos val="low"/>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2538031"/>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4GHz_O2I</a:t>
            </a:r>
            <a:endParaRPr lang="en-US" altLang="zh-CN"/>
          </a:p>
        </c:rich>
      </c:tx>
      <c:layout/>
      <c:overlay val="0"/>
      <c:spPr>
        <a:noFill/>
        <a:ln>
          <a:noFill/>
        </a:ln>
        <a:effectLst/>
      </c:spPr>
    </c:title>
    <c:autoTitleDeleted val="0"/>
    <c:plotArea>
      <c:layout/>
      <c:lineChart>
        <c:grouping val="standard"/>
        <c:varyColors val="0"/>
        <c:ser>
          <c:idx val="0"/>
          <c:order val="0"/>
          <c:tx>
            <c:strRef>
              <c:f>'[Coverage enhancement仿真结果.xlsx]101e新增仿真结果'!$A$592</c:f>
              <c:strCache>
                <c:ptCount val="1"/>
                <c:pt idx="0">
                  <c:v>Baseline</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f>'[Coverage enhancement仿真结果.xlsx]101e新增仿真结果'!$B$591:$O$591</c:f>
              <c:numCache>
                <c:formatCode>General</c:formatCode>
                <c:ptCount val="14"/>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numCache>
            </c:numRef>
          </c:cat>
          <c:val>
            <c:numRef>
              <c:f>'[Coverage enhancement仿真结果.xlsx]101e新增仿真结果'!$B$592:$O$592</c:f>
              <c:numCache>
                <c:formatCode>General</c:formatCode>
                <c:ptCount val="14"/>
                <c:pt idx="0">
                  <c:v>0.996</c:v>
                </c:pt>
                <c:pt idx="1">
                  <c:v>0.96817</c:v>
                </c:pt>
                <c:pt idx="2">
                  <c:v>0.87387</c:v>
                </c:pt>
                <c:pt idx="3">
                  <c:v>0.67087</c:v>
                </c:pt>
                <c:pt idx="4">
                  <c:v>0.39039</c:v>
                </c:pt>
                <c:pt idx="5">
                  <c:v>0.19259</c:v>
                </c:pt>
                <c:pt idx="6">
                  <c:v>0.09269</c:v>
                </c:pt>
                <c:pt idx="7">
                  <c:v>0.04124</c:v>
                </c:pt>
                <c:pt idx="8">
                  <c:v>0.01441</c:v>
                </c:pt>
              </c:numCache>
            </c:numRef>
          </c:val>
          <c:smooth val="0"/>
        </c:ser>
        <c:ser>
          <c:idx val="1"/>
          <c:order val="1"/>
          <c:tx>
            <c:strRef>
              <c:f>'[Coverage enhancement仿真结果.xlsx]101e新增仿真结果'!$A$593</c:f>
              <c:strCache>
                <c:ptCount val="1"/>
                <c:pt idx="0">
                  <c:v>Phase error = 10°</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f>'[Coverage enhancement仿真结果.xlsx]101e新增仿真结果'!$B$591:$O$591</c:f>
              <c:numCache>
                <c:formatCode>General</c:formatCode>
                <c:ptCount val="14"/>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numCache>
            </c:numRef>
          </c:cat>
          <c:val>
            <c:numRef>
              <c:f>'[Coverage enhancement仿真结果.xlsx]101e新增仿真结果'!$B$593:$O$593</c:f>
              <c:numCache>
                <c:formatCode>General</c:formatCode>
                <c:ptCount val="14"/>
                <c:pt idx="0">
                  <c:v>0.9962</c:v>
                </c:pt>
                <c:pt idx="1">
                  <c:v>0.97017</c:v>
                </c:pt>
                <c:pt idx="2">
                  <c:v>0.88068</c:v>
                </c:pt>
                <c:pt idx="3">
                  <c:v>0.67948</c:v>
                </c:pt>
                <c:pt idx="4">
                  <c:v>0.396</c:v>
                </c:pt>
                <c:pt idx="5">
                  <c:v>0.1964</c:v>
                </c:pt>
                <c:pt idx="6">
                  <c:v>0.09169</c:v>
                </c:pt>
                <c:pt idx="7">
                  <c:v>0.04464</c:v>
                </c:pt>
                <c:pt idx="8">
                  <c:v>0.01381</c:v>
                </c:pt>
              </c:numCache>
            </c:numRef>
          </c:val>
          <c:smooth val="0"/>
        </c:ser>
        <c:ser>
          <c:idx val="2"/>
          <c:order val="2"/>
          <c:tx>
            <c:strRef>
              <c:f>'[Coverage enhancement仿真结果.xlsx]101e新增仿真结果'!$A$594</c:f>
              <c:strCache>
                <c:ptCount val="1"/>
                <c:pt idx="0">
                  <c:v>Phase error = 30°</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f>'[Coverage enhancement仿真结果.xlsx]101e新增仿真结果'!$B$591:$O$591</c:f>
              <c:numCache>
                <c:formatCode>General</c:formatCode>
                <c:ptCount val="14"/>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numCache>
            </c:numRef>
          </c:cat>
          <c:val>
            <c:numRef>
              <c:f>'[Coverage enhancement仿真结果.xlsx]101e新增仿真结果'!$B$594:$O$594</c:f>
              <c:numCache>
                <c:formatCode>General</c:formatCode>
                <c:ptCount val="14"/>
                <c:pt idx="0">
                  <c:v>0.9986</c:v>
                </c:pt>
                <c:pt idx="1">
                  <c:v>0.97958</c:v>
                </c:pt>
                <c:pt idx="2">
                  <c:v>0.90571</c:v>
                </c:pt>
                <c:pt idx="3">
                  <c:v>0.73754</c:v>
                </c:pt>
                <c:pt idx="4">
                  <c:v>0.46046</c:v>
                </c:pt>
                <c:pt idx="5">
                  <c:v>0.23664</c:v>
                </c:pt>
                <c:pt idx="6">
                  <c:v>0.11552</c:v>
                </c:pt>
                <c:pt idx="7">
                  <c:v>0.05245</c:v>
                </c:pt>
                <c:pt idx="8">
                  <c:v>0.01982</c:v>
                </c:pt>
              </c:numCache>
            </c:numRef>
          </c:val>
          <c:smooth val="0"/>
        </c:ser>
        <c:ser>
          <c:idx val="3"/>
          <c:order val="3"/>
          <c:tx>
            <c:strRef>
              <c:f>'[Coverage enhancement仿真结果.xlsx]101e新增仿真结果'!$A$595</c:f>
              <c:strCache>
                <c:ptCount val="1"/>
                <c:pt idx="0">
                  <c:v>Phase error = 50°</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delete val="1"/>
          </c:dLbls>
          <c:cat>
            <c:numRef>
              <c:f>'[Coverage enhancement仿真结果.xlsx]101e新增仿真结果'!$B$591:$O$591</c:f>
              <c:numCache>
                <c:formatCode>General</c:formatCode>
                <c:ptCount val="14"/>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numCache>
            </c:numRef>
          </c:cat>
          <c:val>
            <c:numRef>
              <c:f>'[Coverage enhancement仿真结果.xlsx]101e新增仿真结果'!$B$595:$O$595</c:f>
              <c:numCache>
                <c:formatCode>General</c:formatCode>
                <c:ptCount val="14"/>
                <c:pt idx="0">
                  <c:v>1</c:v>
                </c:pt>
                <c:pt idx="1">
                  <c:v>0.99339</c:v>
                </c:pt>
                <c:pt idx="2">
                  <c:v>0.95295</c:v>
                </c:pt>
                <c:pt idx="3">
                  <c:v>0.84224</c:v>
                </c:pt>
                <c:pt idx="4">
                  <c:v>0.61762</c:v>
                </c:pt>
                <c:pt idx="5">
                  <c:v>0.34535</c:v>
                </c:pt>
                <c:pt idx="6">
                  <c:v>0.16376</c:v>
                </c:pt>
                <c:pt idx="7">
                  <c:v>0.07968</c:v>
                </c:pt>
                <c:pt idx="8">
                  <c:v>0.03604</c:v>
                </c:pt>
                <c:pt idx="9">
                  <c:v>0.00941</c:v>
                </c:pt>
              </c:numCache>
            </c:numRef>
          </c:val>
          <c:smooth val="0"/>
        </c:ser>
        <c:ser>
          <c:idx val="4"/>
          <c:order val="4"/>
          <c:tx>
            <c:strRef>
              <c:f>'[Coverage enhancement仿真结果.xlsx]101e新增仿真结果'!$A$596</c:f>
              <c:strCache>
                <c:ptCount val="1"/>
                <c:pt idx="0">
                  <c:v>Phase error = 70°</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dLbls>
            <c:delete val="1"/>
          </c:dLbls>
          <c:cat>
            <c:numRef>
              <c:f>'[Coverage enhancement仿真结果.xlsx]101e新增仿真结果'!$B$591:$O$591</c:f>
              <c:numCache>
                <c:formatCode>General</c:formatCode>
                <c:ptCount val="14"/>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numCache>
            </c:numRef>
          </c:cat>
          <c:val>
            <c:numRef>
              <c:f>'[Coverage enhancement仿真结果.xlsx]101e新增仿真结果'!$B$596:$O$596</c:f>
              <c:numCache>
                <c:formatCode>General</c:formatCode>
                <c:ptCount val="14"/>
                <c:pt idx="0">
                  <c:v>1</c:v>
                </c:pt>
                <c:pt idx="1">
                  <c:v>0.9996</c:v>
                </c:pt>
                <c:pt idx="2">
                  <c:v>0.99039</c:v>
                </c:pt>
                <c:pt idx="3">
                  <c:v>0.94374</c:v>
                </c:pt>
                <c:pt idx="4">
                  <c:v>0.82022</c:v>
                </c:pt>
                <c:pt idx="5">
                  <c:v>0.57858</c:v>
                </c:pt>
                <c:pt idx="6">
                  <c:v>0.31952</c:v>
                </c:pt>
                <c:pt idx="7">
                  <c:v>0.15375</c:v>
                </c:pt>
                <c:pt idx="8">
                  <c:v>0.07087</c:v>
                </c:pt>
                <c:pt idx="9">
                  <c:v>0.02983</c:v>
                </c:pt>
              </c:numCache>
            </c:numRef>
          </c:val>
          <c:smooth val="0"/>
        </c:ser>
        <c:ser>
          <c:idx val="5"/>
          <c:order val="5"/>
          <c:tx>
            <c:strRef>
              <c:f>'[Coverage enhancement仿真结果.xlsx]101e新增仿真结果'!$A$597</c:f>
              <c:strCache>
                <c:ptCount val="1"/>
                <c:pt idx="0">
                  <c:v>Phase error = 90°</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dLbls>
            <c:delete val="1"/>
          </c:dLbls>
          <c:cat>
            <c:numRef>
              <c:f>'[Coverage enhancement仿真结果.xlsx]101e新增仿真结果'!$B$591:$O$591</c:f>
              <c:numCache>
                <c:formatCode>General</c:formatCode>
                <c:ptCount val="14"/>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numCache>
            </c:numRef>
          </c:cat>
          <c:val>
            <c:numRef>
              <c:f>'[Coverage enhancement仿真结果.xlsx]101e新增仿真结果'!$B$597:$O$597</c:f>
              <c:numCache>
                <c:formatCode>General</c:formatCode>
                <c:ptCount val="14"/>
                <c:pt idx="0">
                  <c:v>1</c:v>
                </c:pt>
                <c:pt idx="1">
                  <c:v>1</c:v>
                </c:pt>
                <c:pt idx="2">
                  <c:v>1</c:v>
                </c:pt>
                <c:pt idx="3">
                  <c:v>0.996</c:v>
                </c:pt>
                <c:pt idx="4">
                  <c:v>0.97137</c:v>
                </c:pt>
                <c:pt idx="5">
                  <c:v>0.88448</c:v>
                </c:pt>
                <c:pt idx="6">
                  <c:v>0.68769</c:v>
                </c:pt>
                <c:pt idx="7">
                  <c:v>0.40801</c:v>
                </c:pt>
                <c:pt idx="8">
                  <c:v>0.199</c:v>
                </c:pt>
                <c:pt idx="9">
                  <c:v>0.08969</c:v>
                </c:pt>
                <c:pt idx="10">
                  <c:v>0.03764</c:v>
                </c:pt>
              </c:numCache>
            </c:numRef>
          </c:val>
          <c:smooth val="0"/>
        </c:ser>
        <c:ser>
          <c:idx val="6"/>
          <c:order val="6"/>
          <c:tx>
            <c:strRef>
              <c:f>'[Coverage enhancement仿真结果.xlsx]101e新增仿真结果'!$A$598</c:f>
              <c:strCache>
                <c:ptCount val="1"/>
                <c:pt idx="0">
                  <c:v>Phase error = 110°</c:v>
                </c:pt>
              </c:strCache>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dLbls>
            <c:delete val="1"/>
          </c:dLbls>
          <c:cat>
            <c:numRef>
              <c:f>'[Coverage enhancement仿真结果.xlsx]101e新增仿真结果'!$B$591:$O$591</c:f>
              <c:numCache>
                <c:formatCode>General</c:formatCode>
                <c:ptCount val="14"/>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numCache>
            </c:numRef>
          </c:cat>
          <c:val>
            <c:numRef>
              <c:f>'[Coverage enhancement仿真结果.xlsx]101e新增仿真结果'!$B$598:$O$598</c:f>
              <c:numCache>
                <c:formatCode>General</c:formatCode>
                <c:ptCount val="14"/>
                <c:pt idx="0">
                  <c:v>1</c:v>
                </c:pt>
                <c:pt idx="1">
                  <c:v>1</c:v>
                </c:pt>
                <c:pt idx="2">
                  <c:v>1</c:v>
                </c:pt>
                <c:pt idx="3">
                  <c:v>1</c:v>
                </c:pt>
                <c:pt idx="4">
                  <c:v>1</c:v>
                </c:pt>
                <c:pt idx="5">
                  <c:v>0.9992</c:v>
                </c:pt>
                <c:pt idx="6">
                  <c:v>0.99239</c:v>
                </c:pt>
                <c:pt idx="7">
                  <c:v>0.93574</c:v>
                </c:pt>
                <c:pt idx="8">
                  <c:v>0.75395</c:v>
                </c:pt>
                <c:pt idx="9">
                  <c:v>0.41602</c:v>
                </c:pt>
                <c:pt idx="10">
                  <c:v>0.16537</c:v>
                </c:pt>
                <c:pt idx="11">
                  <c:v>0.05766</c:v>
                </c:pt>
                <c:pt idx="12">
                  <c:v>0.01682</c:v>
                </c:pt>
              </c:numCache>
            </c:numRef>
          </c:val>
          <c:smooth val="0"/>
        </c:ser>
        <c:ser>
          <c:idx val="7"/>
          <c:order val="7"/>
          <c:tx>
            <c:strRef>
              <c:f>'[Coverage enhancement仿真结果.xlsx]101e新增仿真结果'!$A$599</c:f>
              <c:strCache>
                <c:ptCount val="1"/>
                <c:pt idx="0">
                  <c:v>Phase error = 130°</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dLbls>
            <c:delete val="1"/>
          </c:dLbls>
          <c:cat>
            <c:numRef>
              <c:f>'[Coverage enhancement仿真结果.xlsx]101e新增仿真结果'!$B$591:$O$591</c:f>
              <c:numCache>
                <c:formatCode>General</c:formatCode>
                <c:ptCount val="14"/>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numCache>
            </c:numRef>
          </c:cat>
          <c:val>
            <c:numRef>
              <c:f>'[Coverage enhancement仿真结果.xlsx]101e新增仿真结果'!$B$599:$O$599</c:f>
              <c:numCache>
                <c:formatCode>General</c:formatCode>
                <c:ptCount val="14"/>
                <c:pt idx="0">
                  <c:v>1</c:v>
                </c:pt>
                <c:pt idx="1">
                  <c:v>1</c:v>
                </c:pt>
                <c:pt idx="2">
                  <c:v>1</c:v>
                </c:pt>
                <c:pt idx="3">
                  <c:v>1</c:v>
                </c:pt>
                <c:pt idx="4">
                  <c:v>1</c:v>
                </c:pt>
                <c:pt idx="5">
                  <c:v>1</c:v>
                </c:pt>
                <c:pt idx="6">
                  <c:v>1</c:v>
                </c:pt>
                <c:pt idx="7">
                  <c:v>1</c:v>
                </c:pt>
                <c:pt idx="8">
                  <c:v>1</c:v>
                </c:pt>
                <c:pt idx="9">
                  <c:v>0.9994</c:v>
                </c:pt>
                <c:pt idx="10">
                  <c:v>0.87347</c:v>
                </c:pt>
                <c:pt idx="11">
                  <c:v>0.34014</c:v>
                </c:pt>
                <c:pt idx="12">
                  <c:v>0.08308</c:v>
                </c:pt>
                <c:pt idx="13">
                  <c:v>0.02082</c:v>
                </c:pt>
              </c:numCache>
            </c:numRef>
          </c:val>
          <c:smooth val="0"/>
        </c:ser>
        <c:ser>
          <c:idx val="8"/>
          <c:order val="8"/>
          <c:tx>
            <c:strRef>
              <c:f>'[Coverage enhancement仿真结果.xlsx]101e新增仿真结果'!$A$600</c:f>
              <c:strCache>
                <c:ptCount val="1"/>
                <c:pt idx="0">
                  <c:v>Phase error = 150°</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dLbls>
            <c:delete val="1"/>
          </c:dLbls>
          <c:cat>
            <c:numRef>
              <c:f>'[Coverage enhancement仿真结果.xlsx]101e新增仿真结果'!$B$591:$O$591</c:f>
              <c:numCache>
                <c:formatCode>General</c:formatCode>
                <c:ptCount val="14"/>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numCache>
            </c:numRef>
          </c:cat>
          <c:val>
            <c:numRef>
              <c:f>'[Coverage enhancement仿真结果.xlsx]101e新增仿真结果'!$B$600:$O$600</c:f>
              <c:numCache>
                <c:formatCode>General</c:formatCode>
                <c:ptCount val="14"/>
                <c:pt idx="0">
                  <c:v>1</c:v>
                </c:pt>
                <c:pt idx="1">
                  <c:v>1</c:v>
                </c:pt>
                <c:pt idx="2">
                  <c:v>1</c:v>
                </c:pt>
                <c:pt idx="3">
                  <c:v>1</c:v>
                </c:pt>
                <c:pt idx="4">
                  <c:v>1</c:v>
                </c:pt>
                <c:pt idx="5">
                  <c:v>1</c:v>
                </c:pt>
                <c:pt idx="6">
                  <c:v>1</c:v>
                </c:pt>
                <c:pt idx="7">
                  <c:v>1</c:v>
                </c:pt>
                <c:pt idx="8">
                  <c:v>1</c:v>
                </c:pt>
                <c:pt idx="9">
                  <c:v>1</c:v>
                </c:pt>
                <c:pt idx="10">
                  <c:v>0.9996</c:v>
                </c:pt>
                <c:pt idx="11">
                  <c:v>0.8024</c:v>
                </c:pt>
                <c:pt idx="12">
                  <c:v>0.20961</c:v>
                </c:pt>
                <c:pt idx="13">
                  <c:v>0.04685</c:v>
                </c:pt>
              </c:numCache>
            </c:numRef>
          </c:val>
          <c:smooth val="0"/>
        </c:ser>
        <c:dLbls>
          <c:showLegendKey val="0"/>
          <c:showVal val="0"/>
          <c:showCatName val="0"/>
          <c:showSerName val="0"/>
          <c:showPercent val="0"/>
          <c:showBubbleSize val="0"/>
        </c:dLbls>
        <c:marker val="1"/>
        <c:smooth val="0"/>
        <c:axId val="612764181"/>
        <c:axId val="879963851"/>
      </c:lineChart>
      <c:catAx>
        <c:axId val="612764181"/>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79963851"/>
        <c:crossesAt val="0"/>
        <c:auto val="1"/>
        <c:lblAlgn val="ctr"/>
        <c:lblOffset val="100"/>
        <c:noMultiLvlLbl val="0"/>
      </c:catAx>
      <c:valAx>
        <c:axId val="879963851"/>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12764181"/>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700MHz_O2I</a:t>
            </a:r>
            <a:endParaRPr lang="en-US" altLang="zh-CN"/>
          </a:p>
        </c:rich>
      </c:tx>
      <c:layout/>
      <c:overlay val="0"/>
      <c:spPr>
        <a:noFill/>
        <a:ln>
          <a:noFill/>
        </a:ln>
        <a:effectLst/>
      </c:spPr>
    </c:title>
    <c:autoTitleDeleted val="0"/>
    <c:plotArea>
      <c:layout/>
      <c:lineChart>
        <c:grouping val="standard"/>
        <c:varyColors val="0"/>
        <c:ser>
          <c:idx val="0"/>
          <c:order val="0"/>
          <c:tx>
            <c:strRef>
              <c:f>'[Coverage enhancement仿真结果.xlsx]101e新增仿真结果'!$A$545</c:f>
              <c:strCache>
                <c:ptCount val="1"/>
                <c:pt idx="0">
                  <c:v>Baseline</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extLst>
                <c:ext xmlns:c15="http://schemas.microsoft.com/office/drawing/2012/chart" uri="{02D57815-91ED-43cb-92C2-25804820EDAC}">
                  <c15:fullRef>
                    <c15:sqref>'[Coverage enhancement仿真结果.xlsx]101e新增仿真结果'!$B$544:$L$544</c15:sqref>
                  </c15:fullRef>
                </c:ext>
              </c:extLst>
              <c:f>'[Coverage enhancement仿真结果.xlsx]101e新增仿真结果'!$B$544:$J$544</c:f>
              <c:numCache>
                <c:formatCode>General</c:formatCode>
                <c:ptCount val="9"/>
                <c:pt idx="0">
                  <c:v>-15</c:v>
                </c:pt>
                <c:pt idx="1">
                  <c:v>-13.5</c:v>
                </c:pt>
                <c:pt idx="2">
                  <c:v>-12</c:v>
                </c:pt>
                <c:pt idx="3">
                  <c:v>-10.5</c:v>
                </c:pt>
                <c:pt idx="4">
                  <c:v>-9</c:v>
                </c:pt>
                <c:pt idx="5">
                  <c:v>-7.5</c:v>
                </c:pt>
                <c:pt idx="6">
                  <c:v>-6</c:v>
                </c:pt>
                <c:pt idx="7">
                  <c:v>-4.5</c:v>
                </c:pt>
                <c:pt idx="8">
                  <c:v>-3</c:v>
                </c:pt>
              </c:numCache>
            </c:numRef>
          </c:cat>
          <c:val>
            <c:numRef>
              <c:extLst>
                <c:ext xmlns:c15="http://schemas.microsoft.com/office/drawing/2012/chart" uri="{02D57815-91ED-43cb-92C2-25804820EDAC}">
                  <c15:fullRef>
                    <c15:sqref>'101e新增仿真结果'!$B$545:$L$545</c15:sqref>
                  </c15:fullRef>
                </c:ext>
              </c:extLst>
              <c:f>'[Coverage enhancement仿真结果.xlsx]101e新增仿真结果'!$B$545:$J$545</c:f>
              <c:numCache>
                <c:formatCode>General</c:formatCode>
                <c:ptCount val="9"/>
                <c:pt idx="0">
                  <c:v>0.94454</c:v>
                </c:pt>
                <c:pt idx="1">
                  <c:v>0.81522</c:v>
                </c:pt>
                <c:pt idx="2">
                  <c:v>0.60501</c:v>
                </c:pt>
                <c:pt idx="3">
                  <c:v>0.36036</c:v>
                </c:pt>
                <c:pt idx="4">
                  <c:v>0.18078</c:v>
                </c:pt>
                <c:pt idx="5">
                  <c:v>0.08148</c:v>
                </c:pt>
                <c:pt idx="6">
                  <c:v>0.03403</c:v>
                </c:pt>
                <c:pt idx="7">
                  <c:v>0.01101</c:v>
                </c:pt>
              </c:numCache>
            </c:numRef>
          </c:val>
          <c:smooth val="0"/>
        </c:ser>
        <c:ser>
          <c:idx val="1"/>
          <c:order val="1"/>
          <c:tx>
            <c:strRef>
              <c:f>'[Coverage enhancement仿真结果.xlsx]101e新增仿真结果'!$A$546</c:f>
              <c:strCache>
                <c:ptCount val="1"/>
                <c:pt idx="0">
                  <c:v>amplitude error = 0.5dB </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extLst>
                <c:ext xmlns:c15="http://schemas.microsoft.com/office/drawing/2012/chart" uri="{02D57815-91ED-43cb-92C2-25804820EDAC}">
                  <c15:fullRef>
                    <c15:sqref>'[Coverage enhancement仿真结果.xlsx]101e新增仿真结果'!$B$544:$L$544</c15:sqref>
                  </c15:fullRef>
                </c:ext>
              </c:extLst>
              <c:f>'[Coverage enhancement仿真结果.xlsx]101e新增仿真结果'!$B$544:$J$544</c:f>
              <c:numCache>
                <c:formatCode>General</c:formatCode>
                <c:ptCount val="9"/>
                <c:pt idx="0">
                  <c:v>-15</c:v>
                </c:pt>
                <c:pt idx="1">
                  <c:v>-13.5</c:v>
                </c:pt>
                <c:pt idx="2">
                  <c:v>-12</c:v>
                </c:pt>
                <c:pt idx="3">
                  <c:v>-10.5</c:v>
                </c:pt>
                <c:pt idx="4">
                  <c:v>-9</c:v>
                </c:pt>
                <c:pt idx="5">
                  <c:v>-7.5</c:v>
                </c:pt>
                <c:pt idx="6">
                  <c:v>-6</c:v>
                </c:pt>
                <c:pt idx="7">
                  <c:v>-4.5</c:v>
                </c:pt>
                <c:pt idx="8">
                  <c:v>-3</c:v>
                </c:pt>
              </c:numCache>
            </c:numRef>
          </c:cat>
          <c:val>
            <c:numRef>
              <c:extLst>
                <c:ext xmlns:c15="http://schemas.microsoft.com/office/drawing/2012/chart" uri="{02D57815-91ED-43cb-92C2-25804820EDAC}">
                  <c15:fullRef>
                    <c15:sqref>'101e新增仿真结果'!$B$546:$L$546</c15:sqref>
                  </c15:fullRef>
                </c:ext>
              </c:extLst>
              <c:f>'[Coverage enhancement仿真结果.xlsx]101e新增仿真结果'!$B$546:$J$546</c:f>
              <c:numCache>
                <c:formatCode>General</c:formatCode>
                <c:ptCount val="9"/>
                <c:pt idx="0">
                  <c:v>0.998</c:v>
                </c:pt>
                <c:pt idx="1">
                  <c:v>0.96757</c:v>
                </c:pt>
                <c:pt idx="2">
                  <c:v>0.85746</c:v>
                </c:pt>
                <c:pt idx="3">
                  <c:v>0.67968</c:v>
                </c:pt>
                <c:pt idx="4">
                  <c:v>0.42482</c:v>
                </c:pt>
                <c:pt idx="5">
                  <c:v>0.23564</c:v>
                </c:pt>
                <c:pt idx="6">
                  <c:v>0.10951</c:v>
                </c:pt>
                <c:pt idx="7">
                  <c:v>0.04925</c:v>
                </c:pt>
                <c:pt idx="8">
                  <c:v>0.01822</c:v>
                </c:pt>
              </c:numCache>
            </c:numRef>
          </c:val>
          <c:smooth val="0"/>
        </c:ser>
        <c:ser>
          <c:idx val="2"/>
          <c:order val="2"/>
          <c:tx>
            <c:strRef>
              <c:f>'[Coverage enhancement仿真结果.xlsx]101e新增仿真结果'!$A$547</c:f>
              <c:strCache>
                <c:ptCount val="1"/>
                <c:pt idx="0">
                  <c:v>amplitude error = 1dB </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extLst>
                <c:ext xmlns:c15="http://schemas.microsoft.com/office/drawing/2012/chart" uri="{02D57815-91ED-43cb-92C2-25804820EDAC}">
                  <c15:fullRef>
                    <c15:sqref>'[Coverage enhancement仿真结果.xlsx]101e新增仿真结果'!$B$544:$L$544</c15:sqref>
                  </c15:fullRef>
                </c:ext>
              </c:extLst>
              <c:f>'[Coverage enhancement仿真结果.xlsx]101e新增仿真结果'!$B$544:$J$544</c:f>
              <c:numCache>
                <c:formatCode>General</c:formatCode>
                <c:ptCount val="9"/>
                <c:pt idx="0">
                  <c:v>-15</c:v>
                </c:pt>
                <c:pt idx="1">
                  <c:v>-13.5</c:v>
                </c:pt>
                <c:pt idx="2">
                  <c:v>-12</c:v>
                </c:pt>
                <c:pt idx="3">
                  <c:v>-10.5</c:v>
                </c:pt>
                <c:pt idx="4">
                  <c:v>-9</c:v>
                </c:pt>
                <c:pt idx="5">
                  <c:v>-7.5</c:v>
                </c:pt>
                <c:pt idx="6">
                  <c:v>-6</c:v>
                </c:pt>
                <c:pt idx="7">
                  <c:v>-4.5</c:v>
                </c:pt>
                <c:pt idx="8">
                  <c:v>-3</c:v>
                </c:pt>
              </c:numCache>
            </c:numRef>
          </c:cat>
          <c:val>
            <c:numRef>
              <c:extLst>
                <c:ext xmlns:c15="http://schemas.microsoft.com/office/drawing/2012/chart" uri="{02D57815-91ED-43cb-92C2-25804820EDAC}">
                  <c15:fullRef>
                    <c15:sqref>'101e新增仿真结果'!$B$547:$L$547</c15:sqref>
                  </c15:fullRef>
                </c:ext>
              </c:extLst>
              <c:f>'[Coverage enhancement仿真结果.xlsx]101e新增仿真结果'!$B$547:$J$547</c:f>
              <c:numCache>
                <c:formatCode>General</c:formatCode>
                <c:ptCount val="9"/>
                <c:pt idx="0">
                  <c:v>1</c:v>
                </c:pt>
                <c:pt idx="1">
                  <c:v>0.98098</c:v>
                </c:pt>
                <c:pt idx="2">
                  <c:v>0.89469</c:v>
                </c:pt>
                <c:pt idx="3">
                  <c:v>0.73153</c:v>
                </c:pt>
                <c:pt idx="4">
                  <c:v>0.4957</c:v>
                </c:pt>
                <c:pt idx="5">
                  <c:v>0.27748</c:v>
                </c:pt>
                <c:pt idx="6">
                  <c:v>0.13654</c:v>
                </c:pt>
                <c:pt idx="7">
                  <c:v>0.06226</c:v>
                </c:pt>
                <c:pt idx="8">
                  <c:v>0.02683</c:v>
                </c:pt>
              </c:numCache>
            </c:numRef>
          </c:val>
          <c:smooth val="0"/>
        </c:ser>
        <c:ser>
          <c:idx val="3"/>
          <c:order val="3"/>
          <c:tx>
            <c:strRef>
              <c:f>'[Coverage enhancement仿真结果.xlsx]101e新增仿真结果'!$A$548</c:f>
              <c:strCache>
                <c:ptCount val="1"/>
                <c:pt idx="0">
                  <c:v>amplitude error = 1.5dB </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delete val="1"/>
          </c:dLbls>
          <c:cat>
            <c:numRef>
              <c:extLst>
                <c:ext xmlns:c15="http://schemas.microsoft.com/office/drawing/2012/chart" uri="{02D57815-91ED-43cb-92C2-25804820EDAC}">
                  <c15:fullRef>
                    <c15:sqref>'[Coverage enhancement仿真结果.xlsx]101e新增仿真结果'!$B$544:$L$544</c15:sqref>
                  </c15:fullRef>
                </c:ext>
              </c:extLst>
              <c:f>'[Coverage enhancement仿真结果.xlsx]101e新增仿真结果'!$B$544:$J$544</c:f>
              <c:numCache>
                <c:formatCode>General</c:formatCode>
                <c:ptCount val="9"/>
                <c:pt idx="0">
                  <c:v>-15</c:v>
                </c:pt>
                <c:pt idx="1">
                  <c:v>-13.5</c:v>
                </c:pt>
                <c:pt idx="2">
                  <c:v>-12</c:v>
                </c:pt>
                <c:pt idx="3">
                  <c:v>-10.5</c:v>
                </c:pt>
                <c:pt idx="4">
                  <c:v>-9</c:v>
                </c:pt>
                <c:pt idx="5">
                  <c:v>-7.5</c:v>
                </c:pt>
                <c:pt idx="6">
                  <c:v>-6</c:v>
                </c:pt>
                <c:pt idx="7">
                  <c:v>-4.5</c:v>
                </c:pt>
                <c:pt idx="8">
                  <c:v>-3</c:v>
                </c:pt>
              </c:numCache>
            </c:numRef>
          </c:cat>
          <c:val>
            <c:numRef>
              <c:extLst>
                <c:ext xmlns:c15="http://schemas.microsoft.com/office/drawing/2012/chart" uri="{02D57815-91ED-43cb-92C2-25804820EDAC}">
                  <c15:fullRef>
                    <c15:sqref>'101e新增仿真结果'!$B$548:$L$548</c15:sqref>
                  </c15:fullRef>
                </c:ext>
              </c:extLst>
              <c:f>'[Coverage enhancement仿真结果.xlsx]101e新增仿真结果'!$B$548:$J$548</c:f>
              <c:numCache>
                <c:formatCode>General</c:formatCode>
                <c:ptCount val="9"/>
                <c:pt idx="0">
                  <c:v>1</c:v>
                </c:pt>
                <c:pt idx="1">
                  <c:v>0.99079</c:v>
                </c:pt>
                <c:pt idx="2">
                  <c:v>0.92733</c:v>
                </c:pt>
                <c:pt idx="3">
                  <c:v>0.78138</c:v>
                </c:pt>
                <c:pt idx="4">
                  <c:v>0.56196</c:v>
                </c:pt>
                <c:pt idx="5">
                  <c:v>0.33133</c:v>
                </c:pt>
                <c:pt idx="6">
                  <c:v>0.16597</c:v>
                </c:pt>
                <c:pt idx="7">
                  <c:v>0.07628</c:v>
                </c:pt>
                <c:pt idx="8">
                  <c:v>0.03504</c:v>
                </c:pt>
              </c:numCache>
            </c:numRef>
          </c:val>
          <c:smooth val="0"/>
        </c:ser>
        <c:ser>
          <c:idx val="4"/>
          <c:order val="4"/>
          <c:tx>
            <c:strRef>
              <c:f>'[Coverage enhancement仿真结果.xlsx]101e新增仿真结果'!$A$549</c:f>
              <c:strCache>
                <c:ptCount val="1"/>
                <c:pt idx="0">
                  <c:v>amplitude error = 2dB </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dLbls>
            <c:delete val="1"/>
          </c:dLbls>
          <c:cat>
            <c:numRef>
              <c:extLst>
                <c:ext xmlns:c15="http://schemas.microsoft.com/office/drawing/2012/chart" uri="{02D57815-91ED-43cb-92C2-25804820EDAC}">
                  <c15:fullRef>
                    <c15:sqref>'[Coverage enhancement仿真结果.xlsx]101e新增仿真结果'!$B$544:$L$544</c15:sqref>
                  </c15:fullRef>
                </c:ext>
              </c:extLst>
              <c:f>'[Coverage enhancement仿真结果.xlsx]101e新增仿真结果'!$B$544:$J$544</c:f>
              <c:numCache>
                <c:formatCode>General</c:formatCode>
                <c:ptCount val="9"/>
                <c:pt idx="0">
                  <c:v>-15</c:v>
                </c:pt>
                <c:pt idx="1">
                  <c:v>-13.5</c:v>
                </c:pt>
                <c:pt idx="2">
                  <c:v>-12</c:v>
                </c:pt>
                <c:pt idx="3">
                  <c:v>-10.5</c:v>
                </c:pt>
                <c:pt idx="4">
                  <c:v>-9</c:v>
                </c:pt>
                <c:pt idx="5">
                  <c:v>-7.5</c:v>
                </c:pt>
                <c:pt idx="6">
                  <c:v>-6</c:v>
                </c:pt>
                <c:pt idx="7">
                  <c:v>-4.5</c:v>
                </c:pt>
                <c:pt idx="8">
                  <c:v>-3</c:v>
                </c:pt>
              </c:numCache>
            </c:numRef>
          </c:cat>
          <c:val>
            <c:numRef>
              <c:extLst>
                <c:ext xmlns:c15="http://schemas.microsoft.com/office/drawing/2012/chart" uri="{02D57815-91ED-43cb-92C2-25804820EDAC}">
                  <c15:fullRef>
                    <c15:sqref>'101e新增仿真结果'!$B$549:$L$549</c15:sqref>
                  </c15:fullRef>
                </c:ext>
              </c:extLst>
              <c:f>'[Coverage enhancement仿真结果.xlsx]101e新增仿真结果'!$B$549:$J$549</c:f>
              <c:numCache>
                <c:formatCode>General</c:formatCode>
                <c:ptCount val="9"/>
                <c:pt idx="0">
                  <c:v>1</c:v>
                </c:pt>
                <c:pt idx="1">
                  <c:v>0.9962</c:v>
                </c:pt>
                <c:pt idx="2">
                  <c:v>0.94655</c:v>
                </c:pt>
                <c:pt idx="3">
                  <c:v>0.82442</c:v>
                </c:pt>
                <c:pt idx="4">
                  <c:v>0.62543</c:v>
                </c:pt>
                <c:pt idx="5">
                  <c:v>0.38539</c:v>
                </c:pt>
                <c:pt idx="6">
                  <c:v>0.20641</c:v>
                </c:pt>
                <c:pt idx="7">
                  <c:v>0.0983</c:v>
                </c:pt>
                <c:pt idx="8">
                  <c:v>0.03964</c:v>
                </c:pt>
              </c:numCache>
            </c:numRef>
          </c:val>
          <c:smooth val="0"/>
        </c:ser>
        <c:dLbls>
          <c:showLegendKey val="0"/>
          <c:showVal val="0"/>
          <c:showCatName val="0"/>
          <c:showSerName val="0"/>
          <c:showPercent val="0"/>
          <c:showBubbleSize val="0"/>
        </c:dLbls>
        <c:marker val="1"/>
        <c:smooth val="0"/>
        <c:axId val="459896282"/>
        <c:axId val="269238140"/>
      </c:lineChart>
      <c:catAx>
        <c:axId val="459896282"/>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69238140"/>
        <c:crossesAt val="0"/>
        <c:auto val="1"/>
        <c:lblAlgn val="ctr"/>
        <c:lblOffset val="100"/>
        <c:noMultiLvlLbl val="0"/>
      </c:catAx>
      <c:valAx>
        <c:axId val="269238140"/>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0.00E+00" sourceLinked="0"/>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59896282"/>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4GHz_O2I</a:t>
            </a:r>
            <a:endParaRPr lang="en-US" altLang="zh-CN"/>
          </a:p>
        </c:rich>
      </c:tx>
      <c:layout/>
      <c:overlay val="0"/>
      <c:spPr>
        <a:noFill/>
        <a:ln>
          <a:noFill/>
        </a:ln>
        <a:effectLst/>
      </c:spPr>
    </c:title>
    <c:autoTitleDeleted val="0"/>
    <c:plotArea>
      <c:layout/>
      <c:lineChart>
        <c:grouping val="standard"/>
        <c:varyColors val="0"/>
        <c:ser>
          <c:idx val="0"/>
          <c:order val="0"/>
          <c:tx>
            <c:strRef>
              <c:f>'[Coverage enhancement仿真结果.xlsx]101e新增仿真结果'!$A$582</c:f>
              <c:strCache>
                <c:ptCount val="1"/>
                <c:pt idx="0">
                  <c:v>Baseline</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extLst>
                <c:ext xmlns:c15="http://schemas.microsoft.com/office/drawing/2012/chart" uri="{02D57815-91ED-43cb-92C2-25804820EDAC}">
                  <c15:fullRef>
                    <c15:sqref>'[Coverage enhancement仿真结果.xlsx]101e新增仿真结果'!$B$581:$L$581</c15:sqref>
                  </c15:fullRef>
                </c:ext>
              </c:extLst>
              <c:f>'[Coverage enhancement仿真结果.xlsx]101e新增仿真结果'!$B$581:$K$581</c:f>
              <c:numCache>
                <c:formatCode>General</c:formatCode>
                <c:ptCount val="10"/>
                <c:pt idx="0">
                  <c:v>-15</c:v>
                </c:pt>
                <c:pt idx="1">
                  <c:v>-13.5</c:v>
                </c:pt>
                <c:pt idx="2">
                  <c:v>-12</c:v>
                </c:pt>
                <c:pt idx="3">
                  <c:v>-10.5</c:v>
                </c:pt>
                <c:pt idx="4">
                  <c:v>-9</c:v>
                </c:pt>
                <c:pt idx="5">
                  <c:v>-7.5</c:v>
                </c:pt>
                <c:pt idx="6">
                  <c:v>-6</c:v>
                </c:pt>
                <c:pt idx="7">
                  <c:v>-4.5</c:v>
                </c:pt>
                <c:pt idx="8">
                  <c:v>-3</c:v>
                </c:pt>
                <c:pt idx="9">
                  <c:v>-1.5</c:v>
                </c:pt>
              </c:numCache>
            </c:numRef>
          </c:cat>
          <c:val>
            <c:numRef>
              <c:extLst>
                <c:ext xmlns:c15="http://schemas.microsoft.com/office/drawing/2012/chart" uri="{02D57815-91ED-43cb-92C2-25804820EDAC}">
                  <c15:fullRef>
                    <c15:sqref>'101e新增仿真结果'!$B$582:$L$582</c15:sqref>
                  </c15:fullRef>
                </c:ext>
              </c:extLst>
              <c:f>'[Coverage enhancement仿真结果.xlsx]101e新增仿真结果'!$B$582:$K$582</c:f>
              <c:numCache>
                <c:formatCode>General</c:formatCode>
                <c:ptCount val="10"/>
                <c:pt idx="0">
                  <c:v>0.996</c:v>
                </c:pt>
                <c:pt idx="1">
                  <c:v>0.96537</c:v>
                </c:pt>
                <c:pt idx="2">
                  <c:v>0.87247</c:v>
                </c:pt>
                <c:pt idx="3">
                  <c:v>0.66627</c:v>
                </c:pt>
                <c:pt idx="4">
                  <c:v>0.3952</c:v>
                </c:pt>
                <c:pt idx="5">
                  <c:v>0.18899</c:v>
                </c:pt>
                <c:pt idx="6">
                  <c:v>0.08929</c:v>
                </c:pt>
                <c:pt idx="7">
                  <c:v>0.04064</c:v>
                </c:pt>
                <c:pt idx="8">
                  <c:v>0.01281</c:v>
                </c:pt>
              </c:numCache>
            </c:numRef>
          </c:val>
          <c:smooth val="0"/>
        </c:ser>
        <c:ser>
          <c:idx val="1"/>
          <c:order val="1"/>
          <c:tx>
            <c:strRef>
              <c:f>'[Coverage enhancement仿真结果.xlsx]101e新增仿真结果'!$A$583</c:f>
              <c:strCache>
                <c:ptCount val="1"/>
                <c:pt idx="0">
                  <c:v>amplitude error = 0.5dB </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extLst>
                <c:ext xmlns:c15="http://schemas.microsoft.com/office/drawing/2012/chart" uri="{02D57815-91ED-43cb-92C2-25804820EDAC}">
                  <c15:fullRef>
                    <c15:sqref>'[Coverage enhancement仿真结果.xlsx]101e新增仿真结果'!$B$581:$L$581</c15:sqref>
                  </c15:fullRef>
                </c:ext>
              </c:extLst>
              <c:f>'[Coverage enhancement仿真结果.xlsx]101e新增仿真结果'!$B$581:$K$581</c:f>
              <c:numCache>
                <c:formatCode>General</c:formatCode>
                <c:ptCount val="10"/>
                <c:pt idx="0">
                  <c:v>-15</c:v>
                </c:pt>
                <c:pt idx="1">
                  <c:v>-13.5</c:v>
                </c:pt>
                <c:pt idx="2">
                  <c:v>-12</c:v>
                </c:pt>
                <c:pt idx="3">
                  <c:v>-10.5</c:v>
                </c:pt>
                <c:pt idx="4">
                  <c:v>-9</c:v>
                </c:pt>
                <c:pt idx="5">
                  <c:v>-7.5</c:v>
                </c:pt>
                <c:pt idx="6">
                  <c:v>-6</c:v>
                </c:pt>
                <c:pt idx="7">
                  <c:v>-4.5</c:v>
                </c:pt>
                <c:pt idx="8">
                  <c:v>-3</c:v>
                </c:pt>
                <c:pt idx="9">
                  <c:v>-1.5</c:v>
                </c:pt>
              </c:numCache>
            </c:numRef>
          </c:cat>
          <c:val>
            <c:numRef>
              <c:extLst>
                <c:ext xmlns:c15="http://schemas.microsoft.com/office/drawing/2012/chart" uri="{02D57815-91ED-43cb-92C2-25804820EDAC}">
                  <c15:fullRef>
                    <c15:sqref>'101e新增仿真结果'!$B$583:$L$583</c15:sqref>
                  </c15:fullRef>
                </c:ext>
              </c:extLst>
              <c:f>'[Coverage enhancement仿真结果.xlsx]101e新增仿真结果'!$B$583:$K$583</c:f>
              <c:numCache>
                <c:formatCode>General</c:formatCode>
                <c:ptCount val="10"/>
                <c:pt idx="0">
                  <c:v>1</c:v>
                </c:pt>
                <c:pt idx="1">
                  <c:v>0.998</c:v>
                </c:pt>
                <c:pt idx="2">
                  <c:v>0.97477</c:v>
                </c:pt>
                <c:pt idx="3">
                  <c:v>0.8955</c:v>
                </c:pt>
                <c:pt idx="4">
                  <c:v>0.72332</c:v>
                </c:pt>
                <c:pt idx="5">
                  <c:v>0.44645</c:v>
                </c:pt>
                <c:pt idx="6">
                  <c:v>0.23423</c:v>
                </c:pt>
                <c:pt idx="7">
                  <c:v>0.10671</c:v>
                </c:pt>
                <c:pt idx="8">
                  <c:v>0.05185</c:v>
                </c:pt>
                <c:pt idx="9">
                  <c:v>0.02222</c:v>
                </c:pt>
              </c:numCache>
            </c:numRef>
          </c:val>
          <c:smooth val="0"/>
        </c:ser>
        <c:ser>
          <c:idx val="2"/>
          <c:order val="2"/>
          <c:tx>
            <c:strRef>
              <c:f>'[Coverage enhancement仿真结果.xlsx]101e新增仿真结果'!$A$584</c:f>
              <c:strCache>
                <c:ptCount val="1"/>
                <c:pt idx="0">
                  <c:v>amplitude error = 1dB </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extLst>
                <c:ext xmlns:c15="http://schemas.microsoft.com/office/drawing/2012/chart" uri="{02D57815-91ED-43cb-92C2-25804820EDAC}">
                  <c15:fullRef>
                    <c15:sqref>'[Coverage enhancement仿真结果.xlsx]101e新增仿真结果'!$B$581:$L$581</c15:sqref>
                  </c15:fullRef>
                </c:ext>
              </c:extLst>
              <c:f>'[Coverage enhancement仿真结果.xlsx]101e新增仿真结果'!$B$581:$K$581</c:f>
              <c:numCache>
                <c:formatCode>General</c:formatCode>
                <c:ptCount val="10"/>
                <c:pt idx="0">
                  <c:v>-15</c:v>
                </c:pt>
                <c:pt idx="1">
                  <c:v>-13.5</c:v>
                </c:pt>
                <c:pt idx="2">
                  <c:v>-12</c:v>
                </c:pt>
                <c:pt idx="3">
                  <c:v>-10.5</c:v>
                </c:pt>
                <c:pt idx="4">
                  <c:v>-9</c:v>
                </c:pt>
                <c:pt idx="5">
                  <c:v>-7.5</c:v>
                </c:pt>
                <c:pt idx="6">
                  <c:v>-6</c:v>
                </c:pt>
                <c:pt idx="7">
                  <c:v>-4.5</c:v>
                </c:pt>
                <c:pt idx="8">
                  <c:v>-3</c:v>
                </c:pt>
                <c:pt idx="9">
                  <c:v>-1.5</c:v>
                </c:pt>
              </c:numCache>
            </c:numRef>
          </c:cat>
          <c:val>
            <c:numRef>
              <c:extLst>
                <c:ext xmlns:c15="http://schemas.microsoft.com/office/drawing/2012/chart" uri="{02D57815-91ED-43cb-92C2-25804820EDAC}">
                  <c15:fullRef>
                    <c15:sqref>'101e新增仿真结果'!$B$584:$L$584</c15:sqref>
                  </c15:fullRef>
                </c:ext>
              </c:extLst>
              <c:f>'[Coverage enhancement仿真结果.xlsx]101e新增仿真结果'!$B$584:$K$584</c:f>
              <c:numCache>
                <c:formatCode>General</c:formatCode>
                <c:ptCount val="10"/>
                <c:pt idx="0">
                  <c:v>1</c:v>
                </c:pt>
                <c:pt idx="1">
                  <c:v>0.9994</c:v>
                </c:pt>
                <c:pt idx="2">
                  <c:v>0.98539</c:v>
                </c:pt>
                <c:pt idx="3">
                  <c:v>0.92172</c:v>
                </c:pt>
                <c:pt idx="4">
                  <c:v>0.78398</c:v>
                </c:pt>
                <c:pt idx="5">
                  <c:v>0.51972</c:v>
                </c:pt>
                <c:pt idx="6">
                  <c:v>0.27748</c:v>
                </c:pt>
                <c:pt idx="7">
                  <c:v>0.13153</c:v>
                </c:pt>
                <c:pt idx="8">
                  <c:v>0.06647</c:v>
                </c:pt>
                <c:pt idx="9">
                  <c:v>0.02883</c:v>
                </c:pt>
              </c:numCache>
            </c:numRef>
          </c:val>
          <c:smooth val="0"/>
        </c:ser>
        <c:ser>
          <c:idx val="3"/>
          <c:order val="3"/>
          <c:tx>
            <c:strRef>
              <c:f>'[Coverage enhancement仿真结果.xlsx]101e新增仿真结果'!$A$585</c:f>
              <c:strCache>
                <c:ptCount val="1"/>
                <c:pt idx="0">
                  <c:v>amplitude error = 1.5dB </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delete val="1"/>
          </c:dLbls>
          <c:cat>
            <c:numRef>
              <c:extLst>
                <c:ext xmlns:c15="http://schemas.microsoft.com/office/drawing/2012/chart" uri="{02D57815-91ED-43cb-92C2-25804820EDAC}">
                  <c15:fullRef>
                    <c15:sqref>'[Coverage enhancement仿真结果.xlsx]101e新增仿真结果'!$B$581:$L$581</c15:sqref>
                  </c15:fullRef>
                </c:ext>
              </c:extLst>
              <c:f>'[Coverage enhancement仿真结果.xlsx]101e新增仿真结果'!$B$581:$K$581</c:f>
              <c:numCache>
                <c:formatCode>General</c:formatCode>
                <c:ptCount val="10"/>
                <c:pt idx="0">
                  <c:v>-15</c:v>
                </c:pt>
                <c:pt idx="1">
                  <c:v>-13.5</c:v>
                </c:pt>
                <c:pt idx="2">
                  <c:v>-12</c:v>
                </c:pt>
                <c:pt idx="3">
                  <c:v>-10.5</c:v>
                </c:pt>
                <c:pt idx="4">
                  <c:v>-9</c:v>
                </c:pt>
                <c:pt idx="5">
                  <c:v>-7.5</c:v>
                </c:pt>
                <c:pt idx="6">
                  <c:v>-6</c:v>
                </c:pt>
                <c:pt idx="7">
                  <c:v>-4.5</c:v>
                </c:pt>
                <c:pt idx="8">
                  <c:v>-3</c:v>
                </c:pt>
                <c:pt idx="9">
                  <c:v>-1.5</c:v>
                </c:pt>
              </c:numCache>
            </c:numRef>
          </c:cat>
          <c:val>
            <c:numRef>
              <c:extLst>
                <c:ext xmlns:c15="http://schemas.microsoft.com/office/drawing/2012/chart" uri="{02D57815-91ED-43cb-92C2-25804820EDAC}">
                  <c15:fullRef>
                    <c15:sqref>'101e新增仿真结果'!$B$585:$L$585</c15:sqref>
                  </c15:fullRef>
                </c:ext>
              </c:extLst>
              <c:f>'[Coverage enhancement仿真结果.xlsx]101e新增仿真结果'!$B$585:$K$585</c:f>
              <c:numCache>
                <c:formatCode>General</c:formatCode>
                <c:ptCount val="10"/>
                <c:pt idx="0">
                  <c:v>1</c:v>
                </c:pt>
                <c:pt idx="1">
                  <c:v>0.9996</c:v>
                </c:pt>
                <c:pt idx="2">
                  <c:v>0.99239</c:v>
                </c:pt>
                <c:pt idx="3">
                  <c:v>0.94635</c:v>
                </c:pt>
                <c:pt idx="4">
                  <c:v>0.82863</c:v>
                </c:pt>
                <c:pt idx="5">
                  <c:v>0.59039</c:v>
                </c:pt>
                <c:pt idx="6">
                  <c:v>0.32973</c:v>
                </c:pt>
                <c:pt idx="7">
                  <c:v>0.16236</c:v>
                </c:pt>
                <c:pt idx="8">
                  <c:v>0.07788</c:v>
                </c:pt>
                <c:pt idx="9">
                  <c:v>0.03584</c:v>
                </c:pt>
              </c:numCache>
            </c:numRef>
          </c:val>
          <c:smooth val="0"/>
        </c:ser>
        <c:ser>
          <c:idx val="4"/>
          <c:order val="4"/>
          <c:tx>
            <c:strRef>
              <c:f>'[Coverage enhancement仿真结果.xlsx]101e新增仿真结果'!$A$586</c:f>
              <c:strCache>
                <c:ptCount val="1"/>
                <c:pt idx="0">
                  <c:v>amplitude error = 2dB </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dLbls>
            <c:delete val="1"/>
          </c:dLbls>
          <c:cat>
            <c:numRef>
              <c:extLst>
                <c:ext xmlns:c15="http://schemas.microsoft.com/office/drawing/2012/chart" uri="{02D57815-91ED-43cb-92C2-25804820EDAC}">
                  <c15:fullRef>
                    <c15:sqref>'[Coverage enhancement仿真结果.xlsx]101e新增仿真结果'!$B$581:$L$581</c15:sqref>
                  </c15:fullRef>
                </c:ext>
              </c:extLst>
              <c:f>'[Coverage enhancement仿真结果.xlsx]101e新增仿真结果'!$B$581:$K$581</c:f>
              <c:numCache>
                <c:formatCode>General</c:formatCode>
                <c:ptCount val="10"/>
                <c:pt idx="0">
                  <c:v>-15</c:v>
                </c:pt>
                <c:pt idx="1">
                  <c:v>-13.5</c:v>
                </c:pt>
                <c:pt idx="2">
                  <c:v>-12</c:v>
                </c:pt>
                <c:pt idx="3">
                  <c:v>-10.5</c:v>
                </c:pt>
                <c:pt idx="4">
                  <c:v>-9</c:v>
                </c:pt>
                <c:pt idx="5">
                  <c:v>-7.5</c:v>
                </c:pt>
                <c:pt idx="6">
                  <c:v>-6</c:v>
                </c:pt>
                <c:pt idx="7">
                  <c:v>-4.5</c:v>
                </c:pt>
                <c:pt idx="8">
                  <c:v>-3</c:v>
                </c:pt>
                <c:pt idx="9">
                  <c:v>-1.5</c:v>
                </c:pt>
              </c:numCache>
            </c:numRef>
          </c:cat>
          <c:val>
            <c:numRef>
              <c:extLst>
                <c:ext xmlns:c15="http://schemas.microsoft.com/office/drawing/2012/chart" uri="{02D57815-91ED-43cb-92C2-25804820EDAC}">
                  <c15:fullRef>
                    <c15:sqref>'101e新增仿真结果'!$B$586:$L$586</c15:sqref>
                  </c15:fullRef>
                </c:ext>
              </c:extLst>
              <c:f>'[Coverage enhancement仿真结果.xlsx]101e新增仿真结果'!$B$586:$K$586</c:f>
              <c:numCache>
                <c:formatCode>General</c:formatCode>
                <c:ptCount val="10"/>
                <c:pt idx="0">
                  <c:v>1</c:v>
                </c:pt>
                <c:pt idx="1">
                  <c:v>1</c:v>
                </c:pt>
                <c:pt idx="2">
                  <c:v>0.99479</c:v>
                </c:pt>
                <c:pt idx="3">
                  <c:v>0.96036</c:v>
                </c:pt>
                <c:pt idx="4">
                  <c:v>0.86647</c:v>
                </c:pt>
                <c:pt idx="5">
                  <c:v>0.66346</c:v>
                </c:pt>
                <c:pt idx="6">
                  <c:v>0.38979</c:v>
                </c:pt>
                <c:pt idx="7">
                  <c:v>0.19419</c:v>
                </c:pt>
                <c:pt idx="8">
                  <c:v>0.09309</c:v>
                </c:pt>
                <c:pt idx="9">
                  <c:v>0.04404</c:v>
                </c:pt>
              </c:numCache>
            </c:numRef>
          </c:val>
          <c:smooth val="0"/>
        </c:ser>
        <c:dLbls>
          <c:showLegendKey val="0"/>
          <c:showVal val="0"/>
          <c:showCatName val="0"/>
          <c:showSerName val="0"/>
          <c:showPercent val="0"/>
          <c:showBubbleSize val="0"/>
        </c:dLbls>
        <c:marker val="1"/>
        <c:smooth val="0"/>
        <c:axId val="570773614"/>
        <c:axId val="793204717"/>
      </c:lineChart>
      <c:catAx>
        <c:axId val="570773614"/>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93204717"/>
        <c:crossesAt val="0"/>
        <c:auto val="1"/>
        <c:lblAlgn val="ctr"/>
        <c:lblOffset val="100"/>
        <c:noMultiLvlLbl val="0"/>
      </c:catAx>
      <c:valAx>
        <c:axId val="793204717"/>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0.00E+00" sourceLinked="0"/>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70773614"/>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BF5348-08CE-46A2-B6C7-D667930F0DC1}">
  <ds:schemaRefs/>
</ds:datastoreItem>
</file>

<file path=customXml/itemProps3.xml><?xml version="1.0" encoding="utf-8"?>
<ds:datastoreItem xmlns:ds="http://schemas.openxmlformats.org/officeDocument/2006/customXml" ds:itemID="{DE437376-A7B6-47B7-A9FE-9D6C62534131}">
  <ds:schemaRefs/>
</ds:datastoreItem>
</file>

<file path=customXml/itemProps4.xml><?xml version="1.0" encoding="utf-8"?>
<ds:datastoreItem xmlns:ds="http://schemas.openxmlformats.org/officeDocument/2006/customXml" ds:itemID="{9C2FF60E-EDDE-47F2-966E-A40547D413B7}">
  <ds:schemaRefs/>
</ds:datastoreItem>
</file>

<file path=customXml/itemProps5.xml><?xml version="1.0" encoding="utf-8"?>
<ds:datastoreItem xmlns:ds="http://schemas.openxmlformats.org/officeDocument/2006/customXml" ds:itemID="{4F156B33-FE54-4BF7-8206-606715473FFD}">
  <ds:schemaRefs/>
</ds:datastoreItem>
</file>

<file path=customXml/itemProps6.xml><?xml version="1.0" encoding="utf-8"?>
<ds:datastoreItem xmlns:ds="http://schemas.openxmlformats.org/officeDocument/2006/customXml" ds:itemID="{052B0C2A-1627-499A-BDC9-127781D196CB}">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Pages>
  <Words>2480</Words>
  <Characters>14138</Characters>
  <Lines>117</Lines>
  <Paragraphs>33</Paragraphs>
  <TotalTime>2</TotalTime>
  <ScaleCrop>false</ScaleCrop>
  <LinksUpToDate>false</LinksUpToDate>
  <CharactersWithSpaces>16585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ZTE-Xianghui Han</cp:lastModifiedBy>
  <cp:lastPrinted>2018-04-07T03:05:00Z</cp:lastPrinted>
  <dcterms:modified xsi:type="dcterms:W3CDTF">2021-09-30T08:32:00Z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